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F4FC" w14:textId="77777777" w:rsidR="00C35DCA" w:rsidRDefault="00C35DCA" w:rsidP="00C35DCA">
      <w:pPr>
        <w:pStyle w:val="Billedlogo"/>
        <w:framePr w:wrap="around" w:x="8094" w:y="1696"/>
      </w:pPr>
    </w:p>
    <w:p w14:paraId="2FA45864" w14:textId="77777777" w:rsidR="00C35DCA" w:rsidRDefault="00C35DCA" w:rsidP="00C35DCA">
      <w:pPr>
        <w:pStyle w:val="Bynavne"/>
        <w:framePr w:wrap="around"/>
      </w:pPr>
    </w:p>
    <w:p w14:paraId="4EDFBCEF" w14:textId="77777777" w:rsidR="00C35DCA" w:rsidRDefault="00C35DCA" w:rsidP="00C35DCA">
      <w:pPr>
        <w:pStyle w:val="Logobilledenyttt"/>
        <w:framePr w:wrap="around"/>
        <w:rPr>
          <w:noProof w:val="0"/>
        </w:rPr>
      </w:pPr>
    </w:p>
    <w:p w14:paraId="785FF709" w14:textId="77777777" w:rsidR="00C35DCA" w:rsidRDefault="00C35DCA" w:rsidP="00C35DCA">
      <w:pPr>
        <w:pStyle w:val="Bundtekst"/>
        <w:framePr w:wrap="around" w:vAnchor="margin" w:hAnchor="page" w:x="1471" w:y="15871"/>
      </w:pPr>
    </w:p>
    <w:p w14:paraId="6137E061" w14:textId="77777777" w:rsidR="007A2512" w:rsidRDefault="00C03C84" w:rsidP="007A2512">
      <w:pPr>
        <w:jc w:val="left"/>
        <w:rPr>
          <w:b/>
          <w:szCs w:val="20"/>
        </w:rPr>
      </w:pPr>
      <w:r>
        <w:rPr>
          <w:b/>
          <w:szCs w:val="20"/>
        </w:rPr>
        <w:t>Erklæring om tavshedspligt</w:t>
      </w:r>
    </w:p>
    <w:p w14:paraId="7F604DCD" w14:textId="4FE3621D" w:rsidR="00EB2E0C" w:rsidRDefault="007A2512" w:rsidP="007A2512">
      <w:pPr>
        <w:jc w:val="left"/>
      </w:pPr>
      <w:r>
        <w:rPr>
          <w:szCs w:val="20"/>
        </w:rPr>
        <w:t>Privatinstitutionen Vandpytten</w:t>
      </w:r>
      <w:r w:rsidR="00122C2B">
        <w:rPr>
          <w:szCs w:val="20"/>
        </w:rPr>
        <w:t xml:space="preserve"> </w:t>
      </w:r>
      <w:r w:rsidR="00C065F8">
        <w:t>skal</w:t>
      </w:r>
      <w:r w:rsidR="00C03C84">
        <w:t xml:space="preserve"> </w:t>
      </w:r>
      <w:r w:rsidR="00C065F8">
        <w:t xml:space="preserve">i medfør af Databeskyttelsesforordningen, som </w:t>
      </w:r>
      <w:r w:rsidR="00C03C84">
        <w:t>arbejdsgiver og</w:t>
      </w:r>
      <w:r w:rsidR="00EB2E0C">
        <w:t xml:space="preserve"> </w:t>
      </w:r>
      <w:r w:rsidR="00C03C84">
        <w:t>dataansvarlig</w:t>
      </w:r>
      <w:r w:rsidR="00EB2E0C">
        <w:rPr>
          <w:rStyle w:val="Fodnotehenvisning"/>
        </w:rPr>
        <w:footnoteReference w:id="1"/>
      </w:r>
      <w:r w:rsidR="00EB2E0C">
        <w:t>,</w:t>
      </w:r>
      <w:r w:rsidR="00122C2B">
        <w:t xml:space="preserve"> </w:t>
      </w:r>
      <w:r w:rsidR="005C52BB">
        <w:t>sikre</w:t>
      </w:r>
      <w:r w:rsidR="00EB2E0C">
        <w:t>,</w:t>
      </w:r>
      <w:r w:rsidR="005C52BB">
        <w:t xml:space="preserve"> </w:t>
      </w:r>
      <w:r w:rsidR="00EB2E0C">
        <w:t>at dets ansatte, der er autoriseret til at behandle personoplysninger, har forpligtet sig til fortrolighed, idet de pågældende ansatte ikke er underlagt en passende lovbestemt tavshedspligt.</w:t>
      </w:r>
    </w:p>
    <w:p w14:paraId="2C95B439" w14:textId="77777777" w:rsidR="005C52BB" w:rsidRDefault="005C52BB" w:rsidP="00C03C84"/>
    <w:p w14:paraId="062FC734" w14:textId="77777777" w:rsidR="006F37ED" w:rsidRDefault="005C52BB" w:rsidP="00C03C84">
      <w:r>
        <w:t xml:space="preserve">Nærværende tavshedspligtserklæring tjener </w:t>
      </w:r>
      <w:r w:rsidR="000D0660">
        <w:t>dermed</w:t>
      </w:r>
      <w:r w:rsidR="002220A8">
        <w:t xml:space="preserve"> </w:t>
      </w:r>
      <w:r>
        <w:t xml:space="preserve">formålet at opfylde </w:t>
      </w:r>
      <w:r w:rsidR="00122C2B">
        <w:t>din arbejdsgivers</w:t>
      </w:r>
      <w:r>
        <w:t xml:space="preserve"> forpligtelse </w:t>
      </w:r>
      <w:r w:rsidR="0009072D">
        <w:t>til</w:t>
      </w:r>
      <w:r w:rsidR="000D0660">
        <w:t>,</w:t>
      </w:r>
      <w:r w:rsidR="0009072D">
        <w:t xml:space="preserve"> at pålægge </w:t>
      </w:r>
      <w:r w:rsidR="007B260E">
        <w:t>dig</w:t>
      </w:r>
      <w:r w:rsidR="002220A8">
        <w:t xml:space="preserve"> fortrolighed angåe</w:t>
      </w:r>
      <w:r w:rsidR="0009072D">
        <w:t>nde de pers</w:t>
      </w:r>
      <w:r w:rsidR="007B260E">
        <w:t>onoplysninger, som du</w:t>
      </w:r>
      <w:r w:rsidR="002220A8">
        <w:t xml:space="preserve"> opnår kendskab</w:t>
      </w:r>
      <w:r w:rsidR="004C648D">
        <w:t xml:space="preserve"> til</w:t>
      </w:r>
      <w:r w:rsidR="002220A8">
        <w:t>, som led i ansættelsesforholdet.</w:t>
      </w:r>
    </w:p>
    <w:p w14:paraId="71F9B6DB" w14:textId="77777777" w:rsidR="00675A6B" w:rsidRDefault="00675A6B" w:rsidP="00DE01BB"/>
    <w:p w14:paraId="13E8ECC4" w14:textId="77777777" w:rsidR="0087415B" w:rsidRDefault="0087415B" w:rsidP="00DE01BB"/>
    <w:p w14:paraId="4548445B" w14:textId="5ADDA680" w:rsidR="007A2512" w:rsidRDefault="00A41F30" w:rsidP="007A2512">
      <w:r>
        <w:t>I ansættelsesforholdet mellem</w:t>
      </w:r>
      <w:r w:rsidR="007A2512" w:rsidRPr="007A2512">
        <w:t xml:space="preserve"> </w:t>
      </w:r>
      <w:r w:rsidR="007A2512">
        <w:tab/>
      </w:r>
      <w:r w:rsidR="007A2512">
        <w:t>Privatinstitutionen Vandpytten</w:t>
      </w:r>
    </w:p>
    <w:p w14:paraId="007335C6" w14:textId="77777777" w:rsidR="007A2512" w:rsidRDefault="007A2512" w:rsidP="007A2512">
      <w:pPr>
        <w:ind w:left="2608" w:firstLine="1304"/>
      </w:pPr>
      <w:r>
        <w:t>Skatmestervej 8</w:t>
      </w:r>
    </w:p>
    <w:p w14:paraId="5EE290D2" w14:textId="77777777" w:rsidR="007A2512" w:rsidRDefault="007A2512" w:rsidP="007A2512">
      <w:pPr>
        <w:ind w:left="2608" w:firstLine="1304"/>
      </w:pPr>
      <w:r>
        <w:t>3400 Hillerød</w:t>
      </w:r>
    </w:p>
    <w:p w14:paraId="34DAA25B" w14:textId="77777777" w:rsidR="007A2512" w:rsidRDefault="007A2512" w:rsidP="007A2512">
      <w:pPr>
        <w:ind w:left="2608" w:firstLine="1304"/>
      </w:pPr>
      <w:r>
        <w:t>CVR-NR: 35 42 08 35</w:t>
      </w:r>
    </w:p>
    <w:p w14:paraId="36022B57" w14:textId="429348BD" w:rsidR="00A41F30" w:rsidRDefault="00A41F30" w:rsidP="007A2512">
      <w:pPr>
        <w:autoSpaceDE/>
        <w:spacing w:line="320" w:lineRule="atLeast"/>
        <w:rPr>
          <w:szCs w:val="20"/>
        </w:rPr>
      </w:pPr>
      <w:r>
        <w:tab/>
      </w:r>
    </w:p>
    <w:p w14:paraId="0C4583A6" w14:textId="77777777" w:rsidR="00122C2B" w:rsidRDefault="00122C2B" w:rsidP="00122C2B">
      <w:pPr>
        <w:autoSpaceDE/>
        <w:spacing w:line="320" w:lineRule="atLeast"/>
      </w:pPr>
    </w:p>
    <w:p w14:paraId="61D81F04" w14:textId="77777777" w:rsidR="00122C2B" w:rsidRDefault="00A41F30" w:rsidP="00122C2B">
      <w:r>
        <w:t xml:space="preserve">og </w:t>
      </w:r>
      <w:r>
        <w:tab/>
      </w:r>
      <w:r>
        <w:tab/>
      </w:r>
      <w:r>
        <w:tab/>
      </w:r>
      <w:r w:rsidR="00122C2B">
        <w:t>[</w:t>
      </w:r>
      <w:r w:rsidR="00122C2B" w:rsidRPr="002937AD">
        <w:rPr>
          <w:highlight w:val="yellow"/>
        </w:rPr>
        <w:t>ARBEJDSTAGERS NAVN</w:t>
      </w:r>
      <w:r w:rsidR="00122C2B">
        <w:t>]</w:t>
      </w:r>
    </w:p>
    <w:p w14:paraId="3B2AC0A2" w14:textId="77777777" w:rsidR="00122C2B" w:rsidRDefault="00122C2B" w:rsidP="00122C2B">
      <w:pPr>
        <w:ind w:left="2608" w:firstLine="1304"/>
      </w:pPr>
      <w:r>
        <w:t>[</w:t>
      </w:r>
      <w:r>
        <w:rPr>
          <w:highlight w:val="yellow"/>
        </w:rPr>
        <w:t>ARBEJDSTAGERS ADRESSE</w:t>
      </w:r>
      <w:r>
        <w:t>]</w:t>
      </w:r>
    </w:p>
    <w:p w14:paraId="722CDB11" w14:textId="77777777" w:rsidR="00122C2B" w:rsidRDefault="00122C2B" w:rsidP="00122C2B">
      <w:pPr>
        <w:ind w:left="2608" w:firstLine="1304"/>
      </w:pPr>
      <w:r>
        <w:t>[</w:t>
      </w:r>
      <w:r>
        <w:rPr>
          <w:highlight w:val="yellow"/>
        </w:rPr>
        <w:t>ARBEJDSTAGERS BY</w:t>
      </w:r>
      <w:r>
        <w:t>]</w:t>
      </w:r>
    </w:p>
    <w:p w14:paraId="3DDD21AC" w14:textId="77777777" w:rsidR="00C35DCA" w:rsidRDefault="00122C2B" w:rsidP="00122C2B">
      <w:pPr>
        <w:ind w:left="2608" w:firstLine="1304"/>
      </w:pPr>
      <w:r>
        <w:t>[</w:t>
      </w:r>
      <w:r>
        <w:rPr>
          <w:highlight w:val="yellow"/>
        </w:rPr>
        <w:t>ARBEJDSTAGERS POSTNUMMER</w:t>
      </w:r>
      <w:r>
        <w:t>]</w:t>
      </w:r>
    </w:p>
    <w:p w14:paraId="67619F1F" w14:textId="77777777" w:rsidR="0087415B" w:rsidRDefault="0087415B" w:rsidP="006F6FD8"/>
    <w:p w14:paraId="272247B9" w14:textId="77777777" w:rsidR="00C35DCA" w:rsidRDefault="00A41F30" w:rsidP="00C35DCA">
      <w:r>
        <w:t xml:space="preserve">erklærer </w:t>
      </w:r>
      <w:r w:rsidR="002D7C71">
        <w:t>du</w:t>
      </w:r>
      <w:r w:rsidR="004C648D">
        <w:t>, som ansat,</w:t>
      </w:r>
      <w:r w:rsidR="002D7C71">
        <w:t xml:space="preserve"> </w:t>
      </w:r>
      <w:r w:rsidR="00D61D40">
        <w:t>herved</w:t>
      </w:r>
      <w:r w:rsidR="00914231">
        <w:t xml:space="preserve"> at være informeret om d</w:t>
      </w:r>
      <w:r>
        <w:t xml:space="preserve">in tavshedspligt med hensyn til </w:t>
      </w:r>
      <w:r w:rsidR="00B77189">
        <w:t>de personoplysninger</w:t>
      </w:r>
      <w:r>
        <w:t xml:space="preserve">, som kommer til </w:t>
      </w:r>
      <w:r w:rsidR="007B260E">
        <w:t>dit</w:t>
      </w:r>
      <w:r w:rsidR="000D0660">
        <w:t xml:space="preserve"> kendskab gennem din ansættelse</w:t>
      </w:r>
      <w:r>
        <w:t xml:space="preserve"> </w:t>
      </w:r>
      <w:r w:rsidR="000D0660">
        <w:t>samt på tro og love erklærer,</w:t>
      </w:r>
      <w:r w:rsidR="00323A32">
        <w:t xml:space="preserve"> at</w:t>
      </w:r>
      <w:r w:rsidR="000D0660">
        <w:t xml:space="preserve"> du</w:t>
      </w:r>
      <w:r w:rsidR="00323A32">
        <w:t xml:space="preserve"> </w:t>
      </w:r>
      <w:r w:rsidR="000D0660">
        <w:t>ikke vil</w:t>
      </w:r>
      <w:r w:rsidR="00323A32">
        <w:t xml:space="preserve"> bryde tavshedspligt</w:t>
      </w:r>
      <w:r w:rsidR="00914231">
        <w:t>en</w:t>
      </w:r>
      <w:r w:rsidR="000D0660">
        <w:t>,</w:t>
      </w:r>
      <w:r w:rsidR="00323A32">
        <w:t xml:space="preserve"> hverken under </w:t>
      </w:r>
      <w:r w:rsidR="000D0660">
        <w:t>ansættelsesforholdets beståen</w:t>
      </w:r>
      <w:r w:rsidR="00914231">
        <w:t xml:space="preserve"> </w:t>
      </w:r>
      <w:r w:rsidR="00323A32">
        <w:t xml:space="preserve">eller efter </w:t>
      </w:r>
      <w:r w:rsidR="00914231">
        <w:t>dets ophør</w:t>
      </w:r>
      <w:r w:rsidR="00323A32">
        <w:t>.</w:t>
      </w:r>
    </w:p>
    <w:p w14:paraId="6926476A" w14:textId="77777777" w:rsidR="00C35DCA" w:rsidRDefault="00C35DCA" w:rsidP="00C35DCA"/>
    <w:p w14:paraId="7C8EAB16" w14:textId="77777777" w:rsidR="00E85777" w:rsidRDefault="006B2E55" w:rsidP="00C35DCA">
      <w:r>
        <w:t>Din tavshedspligt omfatter samtlige personoplysninger om andre,</w:t>
      </w:r>
      <w:r w:rsidR="0098022D">
        <w:t xml:space="preserve"> såsom </w:t>
      </w:r>
      <w:r w:rsidR="00C03C84">
        <w:t>de</w:t>
      </w:r>
      <w:r w:rsidR="0098022D">
        <w:t xml:space="preserve"> tilknyttede ansatte, </w:t>
      </w:r>
      <w:r w:rsidR="00C03C84">
        <w:t>kommende og tilknyttede forældre og deres</w:t>
      </w:r>
      <w:r w:rsidR="0098022D">
        <w:t xml:space="preserve"> børn,</w:t>
      </w:r>
      <w:r>
        <w:t xml:space="preserve"> som du under din ansættelse bliver bekendt med, og hvis hemmeligholdelse enten ifølge sagens natur er påkrævet eller er specifikt påbudt.</w:t>
      </w:r>
      <w:r w:rsidR="00012A94">
        <w:t xml:space="preserve"> </w:t>
      </w:r>
      <w:r w:rsidR="000D4528">
        <w:t>De tavshedspligtbelagte personoplysninger udgør almindelige-, fortrolige- og følsomme personoplysninger samt oplysninger om strafbare forhold.</w:t>
      </w:r>
    </w:p>
    <w:p w14:paraId="08465552" w14:textId="77777777" w:rsidR="00E85777" w:rsidRDefault="00E85777" w:rsidP="00C35DCA"/>
    <w:p w14:paraId="0D43D4AD" w14:textId="77777777" w:rsidR="006B2E55" w:rsidRDefault="00012A94" w:rsidP="00C35DCA">
      <w:pPr>
        <w:rPr>
          <w:szCs w:val="20"/>
        </w:rPr>
      </w:pPr>
      <w:r>
        <w:rPr>
          <w:szCs w:val="20"/>
        </w:rPr>
        <w:t>Du skal være særligt opmærks</w:t>
      </w:r>
      <w:r w:rsidR="00763CF6">
        <w:rPr>
          <w:szCs w:val="20"/>
        </w:rPr>
        <w:t>om på</w:t>
      </w:r>
      <w:r>
        <w:rPr>
          <w:szCs w:val="20"/>
        </w:rPr>
        <w:t xml:space="preserve"> at brud på din tavshedspligt</w:t>
      </w:r>
      <w:r w:rsidR="00763CF6">
        <w:rPr>
          <w:szCs w:val="20"/>
        </w:rPr>
        <w:t>,</w:t>
      </w:r>
      <w:r>
        <w:rPr>
          <w:szCs w:val="20"/>
        </w:rPr>
        <w:t xml:space="preserve"> kan ske ved en aktiv</w:t>
      </w:r>
      <w:r>
        <w:rPr>
          <w:rStyle w:val="Fodnotehenvisning"/>
          <w:szCs w:val="20"/>
        </w:rPr>
        <w:footnoteReference w:id="2"/>
      </w:r>
      <w:r>
        <w:rPr>
          <w:szCs w:val="20"/>
        </w:rPr>
        <w:t xml:space="preserve"> eller passiv handling</w:t>
      </w:r>
      <w:r>
        <w:rPr>
          <w:rStyle w:val="Fodnotehenvisning"/>
          <w:szCs w:val="20"/>
        </w:rPr>
        <w:footnoteReference w:id="3"/>
      </w:r>
      <w:r>
        <w:rPr>
          <w:szCs w:val="20"/>
        </w:rPr>
        <w:t>.</w:t>
      </w:r>
      <w:r w:rsidRPr="00012A94">
        <w:rPr>
          <w:szCs w:val="20"/>
        </w:rPr>
        <w:t xml:space="preserve"> </w:t>
      </w:r>
    </w:p>
    <w:p w14:paraId="7E42B8ED" w14:textId="77777777" w:rsidR="00C03C84" w:rsidRPr="000D4528" w:rsidRDefault="00C03C84" w:rsidP="00C35DCA">
      <w:pPr>
        <w:rPr>
          <w:szCs w:val="20"/>
        </w:rPr>
      </w:pPr>
    </w:p>
    <w:p w14:paraId="60BD5242" w14:textId="77777777" w:rsidR="00D93F9A" w:rsidRDefault="0098022D" w:rsidP="005729FB">
      <w:pPr>
        <w:autoSpaceDE/>
        <w:spacing w:line="320" w:lineRule="atLeast"/>
        <w:jc w:val="left"/>
        <w:rPr>
          <w:szCs w:val="20"/>
        </w:rPr>
      </w:pPr>
      <w:r>
        <w:rPr>
          <w:szCs w:val="20"/>
        </w:rPr>
        <w:t>Din tavshedspligt</w:t>
      </w:r>
      <w:r w:rsidRPr="005729FB">
        <w:rPr>
          <w:szCs w:val="20"/>
        </w:rPr>
        <w:t xml:space="preserve"> skal betragtes som livsvarig. Tavshedspligten ophører således ikke ved </w:t>
      </w:r>
      <w:r>
        <w:rPr>
          <w:szCs w:val="20"/>
        </w:rPr>
        <w:t>dit ansættelsesforholdets ophør.</w:t>
      </w:r>
    </w:p>
    <w:p w14:paraId="5A09990C" w14:textId="77777777" w:rsidR="004C648D" w:rsidRPr="005729FB" w:rsidRDefault="004C648D" w:rsidP="005729FB">
      <w:pPr>
        <w:autoSpaceDE/>
        <w:spacing w:line="320" w:lineRule="atLeast"/>
        <w:jc w:val="left"/>
        <w:rPr>
          <w:szCs w:val="20"/>
        </w:rPr>
      </w:pPr>
    </w:p>
    <w:p w14:paraId="3D4150DA" w14:textId="77777777" w:rsidR="00C03C84" w:rsidRDefault="005729FB" w:rsidP="00012A94">
      <w:pPr>
        <w:autoSpaceDE/>
        <w:spacing w:line="320" w:lineRule="atLeast"/>
        <w:rPr>
          <w:szCs w:val="20"/>
        </w:rPr>
      </w:pPr>
      <w:r w:rsidRPr="005729FB">
        <w:rPr>
          <w:szCs w:val="20"/>
        </w:rPr>
        <w:lastRenderedPageBreak/>
        <w:t>Overtrædelse af tavshedspligten er strafbar.</w:t>
      </w:r>
      <w:r w:rsidR="0052167E">
        <w:rPr>
          <w:szCs w:val="20"/>
        </w:rPr>
        <w:t xml:space="preserve"> Såfremt du overtræder din tavshedspligt kan du straffes med bøde eller fængsel indtil 6 måneder</w:t>
      </w:r>
      <w:r w:rsidR="0052167E">
        <w:rPr>
          <w:rStyle w:val="Fodnotehenvisning"/>
          <w:szCs w:val="20"/>
        </w:rPr>
        <w:footnoteReference w:id="4"/>
      </w:r>
      <w:r w:rsidR="004C648D">
        <w:rPr>
          <w:szCs w:val="20"/>
        </w:rPr>
        <w:t>, ligesom du kan holdes erstatningsansvarlig</w:t>
      </w:r>
      <w:r w:rsidR="0052167E">
        <w:rPr>
          <w:szCs w:val="20"/>
        </w:rPr>
        <w:t xml:space="preserve">. </w:t>
      </w:r>
    </w:p>
    <w:p w14:paraId="0DC79FD4" w14:textId="77777777" w:rsidR="00C03C84" w:rsidRDefault="00C03C84" w:rsidP="00012A94">
      <w:pPr>
        <w:autoSpaceDE/>
        <w:spacing w:line="320" w:lineRule="atLeast"/>
        <w:rPr>
          <w:szCs w:val="20"/>
        </w:rPr>
      </w:pPr>
    </w:p>
    <w:p w14:paraId="3E4B3952" w14:textId="77777777" w:rsidR="00012A94" w:rsidRPr="00012A94" w:rsidRDefault="0052167E" w:rsidP="00012A94">
      <w:pPr>
        <w:autoSpaceDE/>
        <w:spacing w:line="320" w:lineRule="atLeast"/>
        <w:rPr>
          <w:szCs w:val="20"/>
        </w:rPr>
      </w:pPr>
      <w:r>
        <w:rPr>
          <w:szCs w:val="20"/>
        </w:rPr>
        <w:t>En overtrædelse kan tillige få ansættelsesretlige konsekvenser for dig</w:t>
      </w:r>
      <w:r w:rsidR="00012A94">
        <w:rPr>
          <w:szCs w:val="20"/>
        </w:rPr>
        <w:t>, således</w:t>
      </w:r>
      <w:r w:rsidR="00012A94" w:rsidRPr="00012A94">
        <w:rPr>
          <w:szCs w:val="20"/>
        </w:rPr>
        <w:t xml:space="preserve"> din arbejdsgiver </w:t>
      </w:r>
      <w:r w:rsidR="00012A94">
        <w:rPr>
          <w:szCs w:val="20"/>
        </w:rPr>
        <w:t xml:space="preserve">kan </w:t>
      </w:r>
      <w:r w:rsidR="00012A94" w:rsidRPr="00012A94">
        <w:rPr>
          <w:szCs w:val="20"/>
        </w:rPr>
        <w:t xml:space="preserve">sanktionere </w:t>
      </w:r>
      <w:r w:rsidR="00012A94">
        <w:rPr>
          <w:szCs w:val="20"/>
        </w:rPr>
        <w:t xml:space="preserve">tjenesteforseelsen med en </w:t>
      </w:r>
      <w:r w:rsidR="00012A94" w:rsidRPr="00012A94">
        <w:rPr>
          <w:szCs w:val="20"/>
        </w:rPr>
        <w:t>advarsel, afskedigelse eller bortvisning afhængig af fo</w:t>
      </w:r>
      <w:r w:rsidR="00012A94">
        <w:rPr>
          <w:szCs w:val="20"/>
        </w:rPr>
        <w:t>rseelsens grovhed.</w:t>
      </w:r>
    </w:p>
    <w:p w14:paraId="66E2C632" w14:textId="77777777" w:rsidR="00C35DCA" w:rsidRDefault="00C35DCA" w:rsidP="00C35DCA">
      <w:pPr>
        <w:autoSpaceDE/>
        <w:spacing w:line="320" w:lineRule="atLeast"/>
        <w:jc w:val="left"/>
        <w:rPr>
          <w:szCs w:val="20"/>
        </w:rPr>
      </w:pPr>
    </w:p>
    <w:p w14:paraId="24DA49FA" w14:textId="77777777" w:rsidR="00C35DCA" w:rsidRDefault="0016575E" w:rsidP="00C35DCA">
      <w:pPr>
        <w:autoSpaceDE/>
        <w:spacing w:line="320" w:lineRule="atLeast"/>
        <w:jc w:val="left"/>
        <w:rPr>
          <w:szCs w:val="20"/>
        </w:rPr>
      </w:pPr>
      <w:r>
        <w:rPr>
          <w:szCs w:val="20"/>
        </w:rPr>
        <w:t>Dato:</w:t>
      </w:r>
    </w:p>
    <w:p w14:paraId="6554BF2E" w14:textId="77777777" w:rsidR="00C35DCA" w:rsidRDefault="00C35DCA" w:rsidP="00C35DCA">
      <w:pPr>
        <w:autoSpaceDE/>
        <w:spacing w:line="320" w:lineRule="atLeast"/>
        <w:jc w:val="left"/>
        <w:rPr>
          <w:szCs w:val="20"/>
        </w:rPr>
      </w:pPr>
    </w:p>
    <w:p w14:paraId="7F372CDC" w14:textId="77777777" w:rsidR="00C35DCA" w:rsidRDefault="00C35DCA" w:rsidP="00C35DCA">
      <w:pPr>
        <w:autoSpaceDE/>
        <w:spacing w:line="320" w:lineRule="atLeast"/>
        <w:jc w:val="left"/>
        <w:rPr>
          <w:szCs w:val="20"/>
        </w:rPr>
      </w:pPr>
    </w:p>
    <w:p w14:paraId="02C0FC5F" w14:textId="77777777" w:rsidR="00C35DCA" w:rsidRDefault="00C35DCA" w:rsidP="00C35DCA">
      <w:pPr>
        <w:autoSpaceDE/>
        <w:spacing w:line="320" w:lineRule="atLeast"/>
        <w:jc w:val="left"/>
        <w:rPr>
          <w:szCs w:val="20"/>
        </w:rPr>
      </w:pPr>
      <w:r>
        <w:rPr>
          <w:szCs w:val="20"/>
        </w:rPr>
        <w:t>___________________________</w:t>
      </w:r>
    </w:p>
    <w:p w14:paraId="409E7325" w14:textId="77777777" w:rsidR="00C35DCA" w:rsidRPr="0016575E" w:rsidRDefault="0016575E" w:rsidP="00C35DCA">
      <w:pPr>
        <w:autoSpaceDE/>
        <w:spacing w:line="320" w:lineRule="atLeast"/>
        <w:jc w:val="left"/>
        <w:rPr>
          <w:i/>
          <w:sz w:val="16"/>
          <w:szCs w:val="16"/>
        </w:rPr>
      </w:pPr>
      <w:r>
        <w:rPr>
          <w:i/>
          <w:sz w:val="16"/>
          <w:szCs w:val="16"/>
        </w:rPr>
        <w:t xml:space="preserve">               </w:t>
      </w:r>
      <w:r w:rsidRPr="0016575E">
        <w:rPr>
          <w:i/>
          <w:sz w:val="16"/>
          <w:szCs w:val="16"/>
        </w:rPr>
        <w:t>Din underskrift</w:t>
      </w:r>
    </w:p>
    <w:p w14:paraId="19B439D9" w14:textId="77777777" w:rsidR="00C35DCA" w:rsidRDefault="00C35DCA" w:rsidP="00C35DCA"/>
    <w:p w14:paraId="321BF76D" w14:textId="77777777" w:rsidR="0074674B" w:rsidRDefault="0074674B">
      <w:pPr>
        <w:autoSpaceDE/>
        <w:autoSpaceDN/>
        <w:spacing w:line="240" w:lineRule="auto"/>
        <w:jc w:val="left"/>
      </w:pPr>
      <w:r>
        <w:br w:type="page"/>
      </w:r>
    </w:p>
    <w:p w14:paraId="75EFCFE9" w14:textId="77777777" w:rsidR="0074674B" w:rsidRPr="00D56D31" w:rsidRDefault="000C750F" w:rsidP="00D56D31">
      <w:pPr>
        <w:pStyle w:val="kapitel"/>
        <w:rPr>
          <w:b/>
          <w:sz w:val="20"/>
          <w:szCs w:val="20"/>
        </w:rPr>
      </w:pPr>
      <w:r w:rsidRPr="00D56D31">
        <w:rPr>
          <w:b/>
          <w:sz w:val="20"/>
          <w:szCs w:val="20"/>
        </w:rPr>
        <w:lastRenderedPageBreak/>
        <w:t>Databeskyttelseslovens k</w:t>
      </w:r>
      <w:r w:rsidR="00D56D31" w:rsidRPr="00D56D31">
        <w:rPr>
          <w:b/>
          <w:sz w:val="20"/>
          <w:szCs w:val="20"/>
        </w:rPr>
        <w:t>apitel 12</w:t>
      </w:r>
      <w:r w:rsidR="000D4528">
        <w:rPr>
          <w:b/>
          <w:sz w:val="20"/>
          <w:szCs w:val="20"/>
        </w:rPr>
        <w:t xml:space="preserve"> (uddrag)</w:t>
      </w:r>
    </w:p>
    <w:p w14:paraId="0C080A25" w14:textId="77777777" w:rsidR="0074674B" w:rsidRDefault="0074674B" w:rsidP="009312B0">
      <w:pPr>
        <w:pStyle w:val="paragraf"/>
        <w:ind w:firstLine="0"/>
        <w:rPr>
          <w:sz w:val="17"/>
          <w:szCs w:val="17"/>
        </w:rPr>
      </w:pPr>
      <w:r>
        <w:rPr>
          <w:rStyle w:val="paragrafnr1"/>
          <w:sz w:val="17"/>
          <w:szCs w:val="17"/>
        </w:rPr>
        <w:t>§ 39.</w:t>
      </w:r>
      <w:r>
        <w:rPr>
          <w:sz w:val="17"/>
          <w:szCs w:val="17"/>
        </w:rPr>
        <w:t xml:space="preserve"> Den registrerede eller dennes repræsentant kan klage til vedkommende tilsynsmyndighed over behandling af oplysninger vedrørende den registrerede, jf. databeskyttelsesforordningens artikel 77.</w:t>
      </w:r>
    </w:p>
    <w:p w14:paraId="2B79E185" w14:textId="77777777" w:rsidR="0074674B" w:rsidRDefault="0074674B" w:rsidP="009312B0">
      <w:pPr>
        <w:pStyle w:val="stk2"/>
        <w:ind w:firstLine="0"/>
        <w:rPr>
          <w:sz w:val="17"/>
          <w:szCs w:val="17"/>
        </w:rPr>
      </w:pPr>
      <w:r>
        <w:rPr>
          <w:rStyle w:val="stknr1"/>
          <w:sz w:val="17"/>
          <w:szCs w:val="17"/>
        </w:rPr>
        <w:t>Stk. 2.</w:t>
      </w:r>
      <w:r>
        <w:rPr>
          <w:sz w:val="17"/>
          <w:szCs w:val="17"/>
        </w:rPr>
        <w:t xml:space="preserve"> Tilsynsmyndighedernes afgørelser, undladelser af at behandle en klage fra en registreret eller manglende underretning kan af den registrerede eller dennes repræsentant indbringes for domstolene i den borgerlige retsplejes former, jf. databeskyttelsesforordningens artikel 78.</w:t>
      </w:r>
    </w:p>
    <w:p w14:paraId="7DCD6801" w14:textId="77777777" w:rsidR="0074674B" w:rsidRDefault="0074674B" w:rsidP="009312B0">
      <w:pPr>
        <w:pStyle w:val="stk2"/>
        <w:ind w:firstLine="0"/>
        <w:rPr>
          <w:sz w:val="17"/>
          <w:szCs w:val="17"/>
        </w:rPr>
      </w:pPr>
      <w:r>
        <w:rPr>
          <w:rStyle w:val="stknr1"/>
          <w:sz w:val="17"/>
          <w:szCs w:val="17"/>
        </w:rPr>
        <w:t>Stk. 3.</w:t>
      </w:r>
      <w:r>
        <w:rPr>
          <w:sz w:val="17"/>
          <w:szCs w:val="17"/>
        </w:rPr>
        <w:t xml:space="preserve"> Den registrerede eller dennes repræsentant kan indbringe spørgsmål om dataansvarliges og </w:t>
      </w:r>
      <w:proofErr w:type="spellStart"/>
      <w:r>
        <w:rPr>
          <w:sz w:val="17"/>
          <w:szCs w:val="17"/>
        </w:rPr>
        <w:t>databehandleres</w:t>
      </w:r>
      <w:proofErr w:type="spellEnd"/>
      <w:r>
        <w:rPr>
          <w:sz w:val="17"/>
          <w:szCs w:val="17"/>
        </w:rPr>
        <w:t xml:space="preserve"> overholdelse af denne lov for domstolene i den borgerlige retsplejes former, jf. databeskyttelsesforordningens artikel 79.</w:t>
      </w:r>
    </w:p>
    <w:p w14:paraId="4C1BF383" w14:textId="77777777" w:rsidR="0074674B" w:rsidRDefault="0074674B" w:rsidP="009312B0">
      <w:pPr>
        <w:pStyle w:val="paragraf"/>
        <w:ind w:firstLine="0"/>
        <w:rPr>
          <w:sz w:val="17"/>
          <w:szCs w:val="17"/>
        </w:rPr>
      </w:pPr>
      <w:r>
        <w:rPr>
          <w:rStyle w:val="paragrafnr2"/>
          <w:sz w:val="17"/>
          <w:szCs w:val="17"/>
        </w:rPr>
        <w:t>§ 40.</w:t>
      </w:r>
      <w:r>
        <w:rPr>
          <w:sz w:val="17"/>
          <w:szCs w:val="17"/>
        </w:rPr>
        <w:t xml:space="preserve"> Enhver person, som har lidt materiel eller immateriel skade som følge af en ulovlig behandlingsaktivitet eller enhver anden behandling i strid med denne lov og databeskyttelsesforordningen, har ret til erstatning efter databeskyttelsesforordningens artikel 82.</w:t>
      </w:r>
    </w:p>
    <w:p w14:paraId="6759B9E3" w14:textId="77777777" w:rsidR="0074674B" w:rsidRDefault="0074674B" w:rsidP="009312B0">
      <w:pPr>
        <w:pStyle w:val="paragraf"/>
        <w:ind w:firstLine="0"/>
        <w:rPr>
          <w:sz w:val="17"/>
          <w:szCs w:val="17"/>
        </w:rPr>
      </w:pPr>
      <w:r>
        <w:rPr>
          <w:rStyle w:val="paragrafnr3"/>
          <w:sz w:val="17"/>
          <w:szCs w:val="17"/>
        </w:rPr>
        <w:t>§ 41.</w:t>
      </w:r>
      <w:r>
        <w:rPr>
          <w:sz w:val="17"/>
          <w:szCs w:val="17"/>
        </w:rPr>
        <w:t xml:space="preserve"> Medmindre højere straf er forskyldt efter den øvrige lovgivning, straffes med bøde eller fængsel indtil 6 måneder den, der overtræder bestemmelserne om</w:t>
      </w:r>
    </w:p>
    <w:p w14:paraId="783D165F" w14:textId="77777777" w:rsidR="0074674B" w:rsidRDefault="0074674B" w:rsidP="009312B0">
      <w:pPr>
        <w:pStyle w:val="liste1"/>
        <w:rPr>
          <w:sz w:val="17"/>
          <w:szCs w:val="17"/>
        </w:rPr>
      </w:pPr>
      <w:r>
        <w:rPr>
          <w:rStyle w:val="liste1nr1"/>
          <w:sz w:val="17"/>
          <w:szCs w:val="17"/>
        </w:rPr>
        <w:t>1)</w:t>
      </w:r>
      <w:r>
        <w:rPr>
          <w:sz w:val="17"/>
          <w:szCs w:val="17"/>
        </w:rPr>
        <w:t xml:space="preserve"> den dataansvarliges og databehandlerens forpligtelser i henhold til databeskyttelsesforordningens artikel 8, 11, 25-39, 42 eller 43,</w:t>
      </w:r>
    </w:p>
    <w:p w14:paraId="5A9043B4" w14:textId="77777777" w:rsidR="0074674B" w:rsidRDefault="0074674B" w:rsidP="009312B0">
      <w:pPr>
        <w:pStyle w:val="liste1"/>
        <w:rPr>
          <w:sz w:val="17"/>
          <w:szCs w:val="17"/>
        </w:rPr>
      </w:pPr>
      <w:r>
        <w:rPr>
          <w:rStyle w:val="liste1nr1"/>
          <w:sz w:val="17"/>
          <w:szCs w:val="17"/>
        </w:rPr>
        <w:t>2)</w:t>
      </w:r>
      <w:r>
        <w:rPr>
          <w:sz w:val="17"/>
          <w:szCs w:val="17"/>
        </w:rPr>
        <w:t xml:space="preserve"> certificeringsorganets forpligtelser i henhold til databeskyttelsesforordningens artikel 42 eller 43,</w:t>
      </w:r>
    </w:p>
    <w:p w14:paraId="6B8240B5" w14:textId="77777777" w:rsidR="0074674B" w:rsidRDefault="0074674B" w:rsidP="009312B0">
      <w:pPr>
        <w:pStyle w:val="liste1"/>
        <w:rPr>
          <w:sz w:val="17"/>
          <w:szCs w:val="17"/>
        </w:rPr>
      </w:pPr>
      <w:r>
        <w:rPr>
          <w:rStyle w:val="liste1nr1"/>
          <w:sz w:val="17"/>
          <w:szCs w:val="17"/>
        </w:rPr>
        <w:t>3)</w:t>
      </w:r>
      <w:r>
        <w:rPr>
          <w:sz w:val="17"/>
          <w:szCs w:val="17"/>
        </w:rPr>
        <w:t xml:space="preserve"> kontrolorganets forpligtelser i henhold til databeskyttelsesforordningens artikel 41, stk. 4,</w:t>
      </w:r>
    </w:p>
    <w:p w14:paraId="7EF9444E" w14:textId="77777777" w:rsidR="0074674B" w:rsidRDefault="0074674B" w:rsidP="009312B0">
      <w:pPr>
        <w:pStyle w:val="liste1"/>
        <w:rPr>
          <w:sz w:val="17"/>
          <w:szCs w:val="17"/>
        </w:rPr>
      </w:pPr>
      <w:r>
        <w:rPr>
          <w:rStyle w:val="liste1nr1"/>
          <w:sz w:val="17"/>
          <w:szCs w:val="17"/>
        </w:rPr>
        <w:t>4)</w:t>
      </w:r>
      <w:r>
        <w:rPr>
          <w:sz w:val="17"/>
          <w:szCs w:val="17"/>
        </w:rPr>
        <w:t xml:space="preserve"> de grundlæggende principper for behandling, herunder betingelserne for samtykke, i databeskyttelsesforordningens artikel 5-7 og 9,</w:t>
      </w:r>
    </w:p>
    <w:p w14:paraId="3BBE5B8C" w14:textId="77777777" w:rsidR="0074674B" w:rsidRDefault="0074674B" w:rsidP="009312B0">
      <w:pPr>
        <w:pStyle w:val="liste1"/>
        <w:rPr>
          <w:sz w:val="17"/>
          <w:szCs w:val="17"/>
        </w:rPr>
      </w:pPr>
      <w:r>
        <w:rPr>
          <w:rStyle w:val="liste1nr1"/>
          <w:sz w:val="17"/>
          <w:szCs w:val="17"/>
        </w:rPr>
        <w:t>5)</w:t>
      </w:r>
      <w:r>
        <w:rPr>
          <w:sz w:val="17"/>
          <w:szCs w:val="17"/>
        </w:rPr>
        <w:t xml:space="preserve"> de registreredes rettigheder i henhold til databeskyttelsesforordningen artikel 12-22 eller</w:t>
      </w:r>
    </w:p>
    <w:p w14:paraId="10CAE367" w14:textId="77777777" w:rsidR="0074674B" w:rsidRDefault="0074674B" w:rsidP="009312B0">
      <w:pPr>
        <w:pStyle w:val="liste1"/>
        <w:rPr>
          <w:sz w:val="17"/>
          <w:szCs w:val="17"/>
        </w:rPr>
      </w:pPr>
      <w:r>
        <w:rPr>
          <w:rStyle w:val="liste1nr1"/>
          <w:sz w:val="17"/>
          <w:szCs w:val="17"/>
        </w:rPr>
        <w:t>6)</w:t>
      </w:r>
      <w:r>
        <w:rPr>
          <w:sz w:val="17"/>
          <w:szCs w:val="17"/>
        </w:rPr>
        <w:t xml:space="preserve"> overførsel af personoplysninger til en modtager i et tredjeland eller en international organisation i henhold til databeskyttelsesforordningens artikel 44-49.</w:t>
      </w:r>
    </w:p>
    <w:p w14:paraId="52829C37" w14:textId="77777777" w:rsidR="0074674B" w:rsidRDefault="0074674B" w:rsidP="009312B0">
      <w:pPr>
        <w:pStyle w:val="stk2"/>
        <w:ind w:firstLine="0"/>
        <w:rPr>
          <w:sz w:val="17"/>
          <w:szCs w:val="17"/>
        </w:rPr>
      </w:pPr>
      <w:r>
        <w:rPr>
          <w:rStyle w:val="stknr1"/>
          <w:sz w:val="17"/>
          <w:szCs w:val="17"/>
        </w:rPr>
        <w:t>Stk. 2.</w:t>
      </w:r>
      <w:r>
        <w:rPr>
          <w:sz w:val="17"/>
          <w:szCs w:val="17"/>
        </w:rPr>
        <w:t xml:space="preserve"> På samme måde straffes den, der</w:t>
      </w:r>
    </w:p>
    <w:p w14:paraId="77AFD3DA" w14:textId="77777777" w:rsidR="0074674B" w:rsidRDefault="0074674B" w:rsidP="009312B0">
      <w:pPr>
        <w:pStyle w:val="liste1"/>
        <w:rPr>
          <w:sz w:val="17"/>
          <w:szCs w:val="17"/>
        </w:rPr>
      </w:pPr>
      <w:r>
        <w:rPr>
          <w:rStyle w:val="liste1nr1"/>
          <w:sz w:val="17"/>
          <w:szCs w:val="17"/>
        </w:rPr>
        <w:t>1)</w:t>
      </w:r>
      <w:r>
        <w:rPr>
          <w:sz w:val="17"/>
          <w:szCs w:val="17"/>
        </w:rPr>
        <w:t xml:space="preserve"> overtræder § 5, stk. 1 og 2, § 6, § 7, stk. 1-4, § 8, § 9, stk. 1 og 2, § 10, stk. 1-4, §§ 11 og 12, § 13, stk. 1-7, § 20, § 21 eller § 26, stk. 1 og 5,</w:t>
      </w:r>
    </w:p>
    <w:p w14:paraId="2F5F4549" w14:textId="77777777" w:rsidR="0074674B" w:rsidRDefault="0074674B" w:rsidP="009312B0">
      <w:pPr>
        <w:pStyle w:val="liste1"/>
        <w:rPr>
          <w:sz w:val="17"/>
          <w:szCs w:val="17"/>
        </w:rPr>
      </w:pPr>
      <w:r>
        <w:rPr>
          <w:rStyle w:val="liste1nr1"/>
          <w:sz w:val="17"/>
          <w:szCs w:val="17"/>
        </w:rPr>
        <w:t>2)</w:t>
      </w:r>
      <w:r>
        <w:rPr>
          <w:sz w:val="17"/>
          <w:szCs w:val="17"/>
        </w:rPr>
        <w:t xml:space="preserve"> overtræder databeskyttelsesforordningens artikel 10, medmindre forholdet er omfattet af § 8,</w:t>
      </w:r>
    </w:p>
    <w:p w14:paraId="74F1DB5B" w14:textId="77777777" w:rsidR="0074674B" w:rsidRDefault="0074674B" w:rsidP="009312B0">
      <w:pPr>
        <w:pStyle w:val="liste1"/>
        <w:rPr>
          <w:sz w:val="17"/>
          <w:szCs w:val="17"/>
        </w:rPr>
      </w:pPr>
      <w:r>
        <w:rPr>
          <w:rStyle w:val="liste1nr1"/>
          <w:sz w:val="17"/>
          <w:szCs w:val="17"/>
        </w:rPr>
        <w:t>3)</w:t>
      </w:r>
      <w:r>
        <w:rPr>
          <w:sz w:val="17"/>
          <w:szCs w:val="17"/>
        </w:rPr>
        <w:t xml:space="preserve"> hindrer tilsynsmyndigheden i at få adgang efter artikel 58, stk. 1,</w:t>
      </w:r>
    </w:p>
    <w:p w14:paraId="7D792A17" w14:textId="77777777" w:rsidR="0074674B" w:rsidRDefault="0074674B" w:rsidP="009312B0">
      <w:pPr>
        <w:pStyle w:val="liste1"/>
        <w:rPr>
          <w:sz w:val="17"/>
          <w:szCs w:val="17"/>
        </w:rPr>
      </w:pPr>
      <w:r>
        <w:rPr>
          <w:rStyle w:val="liste1nr1"/>
          <w:sz w:val="17"/>
          <w:szCs w:val="17"/>
        </w:rPr>
        <w:t>4)</w:t>
      </w:r>
      <w:r>
        <w:rPr>
          <w:sz w:val="17"/>
          <w:szCs w:val="17"/>
        </w:rPr>
        <w:t xml:space="preserve"> undlader at efterkomme et påbud eller en midlertidig eller definitiv begrænsning af behandling eller tilsynsmyndighedens suspension af overførsel af oplysninger i henhold til databeskyttelsesforordningens artikel 58, stk. 2,</w:t>
      </w:r>
    </w:p>
    <w:p w14:paraId="2C50B442" w14:textId="77777777" w:rsidR="0074674B" w:rsidRDefault="0074674B" w:rsidP="009312B0">
      <w:pPr>
        <w:pStyle w:val="liste1"/>
        <w:rPr>
          <w:sz w:val="17"/>
          <w:szCs w:val="17"/>
        </w:rPr>
      </w:pPr>
      <w:r>
        <w:rPr>
          <w:rStyle w:val="liste1nr1"/>
          <w:sz w:val="17"/>
          <w:szCs w:val="17"/>
        </w:rPr>
        <w:t>5)</w:t>
      </w:r>
      <w:r>
        <w:rPr>
          <w:sz w:val="17"/>
          <w:szCs w:val="17"/>
        </w:rPr>
        <w:t xml:space="preserve"> undlader at efterkomme et påbud fra tilsynsmyndigheden som omhandlet i databeskyttelsesforordningens artikel 58, stk. 2,</w:t>
      </w:r>
    </w:p>
    <w:p w14:paraId="2F202437" w14:textId="77777777" w:rsidR="0074674B" w:rsidRDefault="0074674B" w:rsidP="009312B0">
      <w:pPr>
        <w:pStyle w:val="liste1"/>
        <w:rPr>
          <w:sz w:val="17"/>
          <w:szCs w:val="17"/>
        </w:rPr>
      </w:pPr>
      <w:r>
        <w:rPr>
          <w:rStyle w:val="liste1nr1"/>
          <w:sz w:val="17"/>
          <w:szCs w:val="17"/>
        </w:rPr>
        <w:t>6)</w:t>
      </w:r>
      <w:r>
        <w:rPr>
          <w:sz w:val="17"/>
          <w:szCs w:val="17"/>
        </w:rPr>
        <w:t xml:space="preserve"> undlader at efterkomme Datatilsynets krav efter § 29, stk. 1, eller § 32, stk. 1, 2. pkt., jf. § 29, stk. 1,</w:t>
      </w:r>
    </w:p>
    <w:p w14:paraId="7F1A1C75" w14:textId="77777777" w:rsidR="0074674B" w:rsidRDefault="0074674B" w:rsidP="009312B0">
      <w:pPr>
        <w:pStyle w:val="liste1"/>
        <w:rPr>
          <w:sz w:val="17"/>
          <w:szCs w:val="17"/>
        </w:rPr>
      </w:pPr>
      <w:r>
        <w:rPr>
          <w:rStyle w:val="liste1nr1"/>
          <w:sz w:val="17"/>
          <w:szCs w:val="17"/>
        </w:rPr>
        <w:t>7)</w:t>
      </w:r>
      <w:r>
        <w:rPr>
          <w:sz w:val="17"/>
          <w:szCs w:val="17"/>
        </w:rPr>
        <w:t xml:space="preserve"> hindrer Datatilsynet i at få adgang efter § 29, stk. 2, eller § 32, stk. 1, 2. pkt., jf. § 29, stk. 2, eller</w:t>
      </w:r>
    </w:p>
    <w:p w14:paraId="27C2A379" w14:textId="77777777" w:rsidR="0074674B" w:rsidRDefault="0074674B" w:rsidP="009312B0">
      <w:pPr>
        <w:pStyle w:val="liste1"/>
        <w:rPr>
          <w:sz w:val="17"/>
          <w:szCs w:val="17"/>
        </w:rPr>
      </w:pPr>
      <w:r>
        <w:rPr>
          <w:rStyle w:val="liste1nr1"/>
          <w:sz w:val="17"/>
          <w:szCs w:val="17"/>
        </w:rPr>
        <w:t>8)</w:t>
      </w:r>
      <w:r>
        <w:rPr>
          <w:sz w:val="17"/>
          <w:szCs w:val="17"/>
        </w:rPr>
        <w:t xml:space="preserve"> i øvrigt undlader at efterkomme Datatilsynets afgørelser efter loven eller tilsidesætter Datatilsynets vilkår for en tilladelse i medfør af loven.</w:t>
      </w:r>
    </w:p>
    <w:p w14:paraId="7106333E" w14:textId="77777777" w:rsidR="0074674B" w:rsidRDefault="0074674B" w:rsidP="009312B0">
      <w:pPr>
        <w:pStyle w:val="stk2"/>
        <w:ind w:firstLine="0"/>
        <w:rPr>
          <w:sz w:val="17"/>
          <w:szCs w:val="17"/>
        </w:rPr>
      </w:pPr>
      <w:r>
        <w:rPr>
          <w:rStyle w:val="stknr1"/>
          <w:sz w:val="17"/>
          <w:szCs w:val="17"/>
        </w:rPr>
        <w:t>Stk. 3.</w:t>
      </w:r>
      <w:r>
        <w:rPr>
          <w:sz w:val="17"/>
          <w:szCs w:val="17"/>
        </w:rPr>
        <w:t xml:space="preserve"> Databeskyttelsesforordningens artikel 83, stk. 2, skal følges ved </w:t>
      </w:r>
      <w:proofErr w:type="spellStart"/>
      <w:r>
        <w:rPr>
          <w:sz w:val="17"/>
          <w:szCs w:val="17"/>
        </w:rPr>
        <w:t>pålæggelse</w:t>
      </w:r>
      <w:proofErr w:type="spellEnd"/>
      <w:r>
        <w:rPr>
          <w:sz w:val="17"/>
          <w:szCs w:val="17"/>
        </w:rPr>
        <w:t xml:space="preserve"> af straf efter stk. 1 og 2.</w:t>
      </w:r>
    </w:p>
    <w:p w14:paraId="15E8CD02" w14:textId="77777777" w:rsidR="0074674B" w:rsidRDefault="0074674B" w:rsidP="009312B0">
      <w:pPr>
        <w:pStyle w:val="stk2"/>
        <w:ind w:firstLine="0"/>
        <w:rPr>
          <w:sz w:val="17"/>
          <w:szCs w:val="17"/>
        </w:rPr>
      </w:pPr>
      <w:r>
        <w:rPr>
          <w:rStyle w:val="stknr1"/>
          <w:sz w:val="17"/>
          <w:szCs w:val="17"/>
        </w:rPr>
        <w:t>Stk. 4.</w:t>
      </w:r>
      <w:r>
        <w:rPr>
          <w:sz w:val="17"/>
          <w:szCs w:val="17"/>
        </w:rPr>
        <w:t xml:space="preserve"> Den, der overtræder § 24, straffes med bøde, medmindre højere straf er forskyldt efter den øvrige lovgivning.</w:t>
      </w:r>
    </w:p>
    <w:p w14:paraId="1F0D8664" w14:textId="77777777" w:rsidR="0074674B" w:rsidRDefault="0074674B" w:rsidP="009312B0">
      <w:pPr>
        <w:pStyle w:val="stk2"/>
        <w:ind w:firstLine="0"/>
        <w:rPr>
          <w:sz w:val="17"/>
          <w:szCs w:val="17"/>
        </w:rPr>
      </w:pPr>
      <w:r>
        <w:rPr>
          <w:rStyle w:val="stknr1"/>
          <w:sz w:val="17"/>
          <w:szCs w:val="17"/>
        </w:rPr>
        <w:t>Stk. 5.</w:t>
      </w:r>
      <w:r>
        <w:rPr>
          <w:sz w:val="17"/>
          <w:szCs w:val="17"/>
        </w:rPr>
        <w:t xml:space="preserve"> I regler, der udstedes i medfør af loven, kan der fastsættes straf af bøde eller fængsel indtil 6 måneder.</w:t>
      </w:r>
    </w:p>
    <w:p w14:paraId="64E97ACD" w14:textId="77777777" w:rsidR="0074674B" w:rsidRDefault="0074674B" w:rsidP="009312B0">
      <w:pPr>
        <w:pStyle w:val="stk2"/>
        <w:ind w:firstLine="0"/>
        <w:rPr>
          <w:sz w:val="17"/>
          <w:szCs w:val="17"/>
        </w:rPr>
      </w:pPr>
      <w:r>
        <w:rPr>
          <w:rStyle w:val="stknr1"/>
          <w:sz w:val="17"/>
          <w:szCs w:val="17"/>
        </w:rPr>
        <w:t>Stk. 6.</w:t>
      </w:r>
      <w:r>
        <w:rPr>
          <w:sz w:val="17"/>
          <w:szCs w:val="17"/>
        </w:rPr>
        <w:t xml:space="preserve"> Der kan pålægges selskaber m.v. (juridiske personer) strafansvar efter reglerne i straffelovens 5. kapitel. Uanset straffelovens § 27, stk. 2, kan offentlige myndigheder og institutioner m.v., som er omfattet af forvaltningslovens § 1, stk. 1 eller 2, straffes i anledning af overtrædelser, der begås ved udøvelse af virksomhed, der ikke svarer til eller kan sidestilles med virksomhed udøvet af private.</w:t>
      </w:r>
    </w:p>
    <w:p w14:paraId="6C18E775" w14:textId="77777777" w:rsidR="0074674B" w:rsidRDefault="0074674B" w:rsidP="009312B0">
      <w:pPr>
        <w:pStyle w:val="stk2"/>
        <w:ind w:firstLine="0"/>
        <w:rPr>
          <w:sz w:val="17"/>
          <w:szCs w:val="17"/>
        </w:rPr>
      </w:pPr>
      <w:r>
        <w:rPr>
          <w:rStyle w:val="stknr1"/>
          <w:sz w:val="17"/>
          <w:szCs w:val="17"/>
        </w:rPr>
        <w:t>Stk. 7.</w:t>
      </w:r>
      <w:r>
        <w:rPr>
          <w:sz w:val="17"/>
          <w:szCs w:val="17"/>
        </w:rPr>
        <w:t xml:space="preserve"> Forældelsesfristen for overtrædelse af databeskyttelsesforordningen, denne lov eller regler udstedt i medfør af loven er 5 år.</w:t>
      </w:r>
    </w:p>
    <w:p w14:paraId="12745D4E" w14:textId="77777777" w:rsidR="000D4528" w:rsidRDefault="000D4528" w:rsidP="000D4528">
      <w:pPr>
        <w:pStyle w:val="stk2"/>
        <w:ind w:firstLine="0"/>
        <w:rPr>
          <w:sz w:val="17"/>
          <w:szCs w:val="17"/>
        </w:rPr>
      </w:pPr>
    </w:p>
    <w:p w14:paraId="152C3F19" w14:textId="77777777" w:rsidR="002F2FFA" w:rsidRDefault="000C750F" w:rsidP="000D4528">
      <w:pPr>
        <w:pStyle w:val="paragraf"/>
        <w:ind w:firstLine="0"/>
        <w:jc w:val="center"/>
        <w:rPr>
          <w:b/>
          <w:sz w:val="20"/>
          <w:szCs w:val="20"/>
        </w:rPr>
      </w:pPr>
      <w:r w:rsidRPr="00D56D31">
        <w:rPr>
          <w:b/>
          <w:sz w:val="20"/>
          <w:szCs w:val="20"/>
        </w:rPr>
        <w:t>Databeskyttelsesforordnin</w:t>
      </w:r>
      <w:r w:rsidR="00D56D31">
        <w:rPr>
          <w:b/>
          <w:sz w:val="20"/>
          <w:szCs w:val="20"/>
        </w:rPr>
        <w:t>gens artikel 82-</w:t>
      </w:r>
      <w:r w:rsidR="00D56D31" w:rsidRPr="00D56D31">
        <w:rPr>
          <w:b/>
          <w:sz w:val="20"/>
          <w:szCs w:val="20"/>
        </w:rPr>
        <w:t>83</w:t>
      </w:r>
    </w:p>
    <w:p w14:paraId="5D7D59AD" w14:textId="77777777" w:rsidR="000D4528" w:rsidRPr="00D56D31" w:rsidRDefault="000D4528" w:rsidP="000D4528">
      <w:pPr>
        <w:pStyle w:val="paragraf"/>
        <w:ind w:firstLine="0"/>
        <w:jc w:val="center"/>
        <w:rPr>
          <w:b/>
          <w:sz w:val="20"/>
          <w:szCs w:val="20"/>
        </w:rPr>
      </w:pPr>
    </w:p>
    <w:p w14:paraId="2CE63982" w14:textId="77777777" w:rsidR="000C750F" w:rsidRPr="00D56D31" w:rsidRDefault="000C750F" w:rsidP="002F2FFA">
      <w:pPr>
        <w:spacing w:line="240" w:lineRule="auto"/>
        <w:rPr>
          <w:b/>
          <w:sz w:val="17"/>
          <w:szCs w:val="17"/>
        </w:rPr>
      </w:pPr>
      <w:r>
        <w:rPr>
          <w:b/>
          <w:sz w:val="17"/>
          <w:szCs w:val="17"/>
        </w:rPr>
        <w:t>Artikel 82</w:t>
      </w:r>
      <w:r w:rsidR="00D56D31">
        <w:rPr>
          <w:b/>
          <w:sz w:val="17"/>
          <w:szCs w:val="17"/>
        </w:rPr>
        <w:t>.</w:t>
      </w:r>
      <w:r>
        <w:rPr>
          <w:b/>
          <w:sz w:val="17"/>
          <w:szCs w:val="17"/>
        </w:rPr>
        <w:t xml:space="preserve"> </w:t>
      </w:r>
      <w:r w:rsidRPr="000C750F">
        <w:rPr>
          <w:sz w:val="17"/>
          <w:szCs w:val="17"/>
        </w:rPr>
        <w:t>Enhver, som har lidt materiel eller immateriel skade som følge af en overtrædelse af denne forordning, har ret til erstatning for den forvoldte skade fra den dataan</w:t>
      </w:r>
      <w:r>
        <w:rPr>
          <w:sz w:val="17"/>
          <w:szCs w:val="17"/>
        </w:rPr>
        <w:t>svarlige eller databehandleren.</w:t>
      </w:r>
    </w:p>
    <w:p w14:paraId="17390D24" w14:textId="77777777" w:rsidR="000C750F" w:rsidRPr="000C750F" w:rsidRDefault="00D56D31" w:rsidP="002F2FFA">
      <w:pPr>
        <w:spacing w:line="240" w:lineRule="auto"/>
        <w:rPr>
          <w:sz w:val="17"/>
          <w:szCs w:val="17"/>
        </w:rPr>
      </w:pPr>
      <w:r>
        <w:rPr>
          <w:sz w:val="17"/>
          <w:szCs w:val="17"/>
        </w:rPr>
        <w:t>2.</w:t>
      </w:r>
      <w:r w:rsidR="000C750F" w:rsidRPr="000C750F">
        <w:rPr>
          <w:sz w:val="17"/>
          <w:szCs w:val="17"/>
        </w:rPr>
        <w:t xml:space="preserve"> Enhver dataansvarlig, der er involveret i behandling, hæfter for den skade, der er forvoldt af behandling, der overtræder denne forordning. En databehandler hæfter kun for den skade, der er forvoldt af behandling, hvis pågældende ikke har opfyldt forpligtelser i denne forordning, der er rettet specifikt mod </w:t>
      </w:r>
      <w:proofErr w:type="spellStart"/>
      <w:r w:rsidR="000C750F" w:rsidRPr="000C750F">
        <w:rPr>
          <w:sz w:val="17"/>
          <w:szCs w:val="17"/>
        </w:rPr>
        <w:t>databehandlere</w:t>
      </w:r>
      <w:proofErr w:type="spellEnd"/>
      <w:r w:rsidR="000C750F" w:rsidRPr="000C750F">
        <w:rPr>
          <w:sz w:val="17"/>
          <w:szCs w:val="17"/>
        </w:rPr>
        <w:t>, eller hvis pågældende har undladt at følge eller handlet i strid med den data</w:t>
      </w:r>
      <w:r w:rsidR="000C750F">
        <w:rPr>
          <w:sz w:val="17"/>
          <w:szCs w:val="17"/>
        </w:rPr>
        <w:t>ansvarliges lovlige instrukser.</w:t>
      </w:r>
    </w:p>
    <w:p w14:paraId="02B9DA8D" w14:textId="77777777" w:rsidR="000C750F" w:rsidRPr="000C750F" w:rsidRDefault="00D56D31" w:rsidP="002F2FFA">
      <w:pPr>
        <w:spacing w:line="240" w:lineRule="auto"/>
        <w:rPr>
          <w:sz w:val="17"/>
          <w:szCs w:val="17"/>
        </w:rPr>
      </w:pPr>
      <w:r>
        <w:rPr>
          <w:sz w:val="17"/>
          <w:szCs w:val="17"/>
        </w:rPr>
        <w:lastRenderedPageBreak/>
        <w:t>3.</w:t>
      </w:r>
      <w:r w:rsidR="000C750F" w:rsidRPr="000C750F">
        <w:rPr>
          <w:sz w:val="17"/>
          <w:szCs w:val="17"/>
        </w:rPr>
        <w:t xml:space="preserve"> En dataansvarlig eller databehandler er fritaget for erstatningsansvar i henhold til stk. 2, hvis det bevises, at den pågældende ikke er skyld i den b</w:t>
      </w:r>
      <w:r w:rsidR="000C750F">
        <w:rPr>
          <w:sz w:val="17"/>
          <w:szCs w:val="17"/>
        </w:rPr>
        <w:t>egivenhed, der medførte skaden.</w:t>
      </w:r>
    </w:p>
    <w:p w14:paraId="2F01F6BD" w14:textId="77777777" w:rsidR="000C750F" w:rsidRPr="000C750F" w:rsidRDefault="00D56D31" w:rsidP="002F2FFA">
      <w:pPr>
        <w:spacing w:line="240" w:lineRule="auto"/>
        <w:rPr>
          <w:sz w:val="17"/>
          <w:szCs w:val="17"/>
        </w:rPr>
      </w:pPr>
      <w:r>
        <w:rPr>
          <w:sz w:val="17"/>
          <w:szCs w:val="17"/>
        </w:rPr>
        <w:t xml:space="preserve">4. </w:t>
      </w:r>
      <w:r w:rsidR="000C750F" w:rsidRPr="000C750F">
        <w:rPr>
          <w:sz w:val="17"/>
          <w:szCs w:val="17"/>
        </w:rPr>
        <w:t>Hvis mere end én dataansvarlig eller databehandler eller både en dataansvarlig og en databehandler er involveret i den samme behandling, og hvis de i henhold til stk. 2 og 3 er ansvarlige for skader, der er forvoldt af behandling, hæfter de solidarisk for hele skaden for at sikre fuld e</w:t>
      </w:r>
      <w:r w:rsidR="000C750F">
        <w:rPr>
          <w:sz w:val="17"/>
          <w:szCs w:val="17"/>
        </w:rPr>
        <w:t>rstatning til den registrerede.</w:t>
      </w:r>
    </w:p>
    <w:p w14:paraId="79638E3F" w14:textId="77777777" w:rsidR="000C750F" w:rsidRPr="000C750F" w:rsidRDefault="00D56D31" w:rsidP="002F2FFA">
      <w:pPr>
        <w:spacing w:line="240" w:lineRule="auto"/>
        <w:rPr>
          <w:sz w:val="17"/>
          <w:szCs w:val="17"/>
        </w:rPr>
      </w:pPr>
      <w:r>
        <w:rPr>
          <w:sz w:val="17"/>
          <w:szCs w:val="17"/>
        </w:rPr>
        <w:t xml:space="preserve">5. </w:t>
      </w:r>
      <w:r w:rsidR="000C750F" w:rsidRPr="000C750F">
        <w:rPr>
          <w:sz w:val="17"/>
          <w:szCs w:val="17"/>
        </w:rPr>
        <w:t xml:space="preserve">Hvis en dataansvarlig eller en databehandler i overensstemmelse med stk. 4 har betalt fuld erstatning for den forvoldte skade, har den pågældende dataansvarlige eller databehandler ret til at kræve den del af erstatningen, der svarer til andres del af ansvaret for skaden, tilbage fra de andre dataansvarlige eller </w:t>
      </w:r>
      <w:proofErr w:type="spellStart"/>
      <w:r w:rsidR="000C750F" w:rsidRPr="000C750F">
        <w:rPr>
          <w:sz w:val="17"/>
          <w:szCs w:val="17"/>
        </w:rPr>
        <w:t>databehandlere</w:t>
      </w:r>
      <w:proofErr w:type="spellEnd"/>
      <w:r w:rsidR="000C750F" w:rsidRPr="000C750F">
        <w:rPr>
          <w:sz w:val="17"/>
          <w:szCs w:val="17"/>
        </w:rPr>
        <w:t>, der er involveret i den samme behandling, i overensstemme</w:t>
      </w:r>
      <w:r w:rsidR="000C750F">
        <w:rPr>
          <w:sz w:val="17"/>
          <w:szCs w:val="17"/>
        </w:rPr>
        <w:t>lse med betingelserne i stk. 2.</w:t>
      </w:r>
    </w:p>
    <w:p w14:paraId="7B54F2B5" w14:textId="77777777" w:rsidR="000C750F" w:rsidRPr="000C750F" w:rsidRDefault="00D56D31" w:rsidP="002F2FFA">
      <w:pPr>
        <w:spacing w:line="240" w:lineRule="auto"/>
        <w:rPr>
          <w:sz w:val="17"/>
          <w:szCs w:val="17"/>
        </w:rPr>
      </w:pPr>
      <w:r>
        <w:rPr>
          <w:sz w:val="17"/>
          <w:szCs w:val="17"/>
        </w:rPr>
        <w:t>6.</w:t>
      </w:r>
      <w:r w:rsidR="000C750F" w:rsidRPr="000C750F">
        <w:rPr>
          <w:sz w:val="17"/>
          <w:szCs w:val="17"/>
        </w:rPr>
        <w:t xml:space="preserve"> Retssager med henblik på udøvelse af retten til at modtage erstatning anlægges ved de domstole, der er kompetente i henhold til national ret i den medlemsstat, der er omhandlet i artikel 79, stk. 2.</w:t>
      </w:r>
    </w:p>
    <w:p w14:paraId="04EFF248" w14:textId="77777777" w:rsidR="000C750F" w:rsidRPr="000C750F" w:rsidRDefault="000C750F" w:rsidP="002F2FFA">
      <w:pPr>
        <w:spacing w:line="240" w:lineRule="auto"/>
        <w:rPr>
          <w:sz w:val="17"/>
          <w:szCs w:val="17"/>
        </w:rPr>
      </w:pPr>
    </w:p>
    <w:p w14:paraId="042E769F" w14:textId="77777777" w:rsidR="000C750F" w:rsidRPr="000C750F" w:rsidRDefault="000C750F" w:rsidP="002F2FFA">
      <w:pPr>
        <w:spacing w:line="240" w:lineRule="auto"/>
        <w:rPr>
          <w:sz w:val="17"/>
          <w:szCs w:val="17"/>
        </w:rPr>
      </w:pPr>
      <w:r>
        <w:rPr>
          <w:b/>
          <w:sz w:val="17"/>
          <w:szCs w:val="17"/>
        </w:rPr>
        <w:t>Artikel 83</w:t>
      </w:r>
      <w:r w:rsidR="00D56D31">
        <w:rPr>
          <w:b/>
          <w:sz w:val="17"/>
          <w:szCs w:val="17"/>
        </w:rPr>
        <w:t>.</w:t>
      </w:r>
      <w:r w:rsidRPr="000C750F">
        <w:rPr>
          <w:sz w:val="17"/>
          <w:szCs w:val="17"/>
        </w:rPr>
        <w:t xml:space="preserve"> Hver tilsynsmyndighed sikrer, at </w:t>
      </w:r>
      <w:proofErr w:type="spellStart"/>
      <w:r w:rsidRPr="000C750F">
        <w:rPr>
          <w:sz w:val="17"/>
          <w:szCs w:val="17"/>
        </w:rPr>
        <w:t>pålæggelse</w:t>
      </w:r>
      <w:proofErr w:type="spellEnd"/>
      <w:r w:rsidRPr="000C750F">
        <w:rPr>
          <w:sz w:val="17"/>
          <w:szCs w:val="17"/>
        </w:rPr>
        <w:t xml:space="preserve"> af administrative bøder i henhold til denne artikel for overtrædelse af denne forordning som omhandlet i stk. 4, 5 og 6 i hver enkelt sag er effektiv, står i rimeligt forhold til overtrædelse</w:t>
      </w:r>
      <w:r>
        <w:rPr>
          <w:sz w:val="17"/>
          <w:szCs w:val="17"/>
        </w:rPr>
        <w:t>n og har afskrækkende virkning.</w:t>
      </w:r>
    </w:p>
    <w:p w14:paraId="058969AA" w14:textId="77777777" w:rsidR="000C750F" w:rsidRPr="000C750F" w:rsidRDefault="00D56D31" w:rsidP="002F2FFA">
      <w:pPr>
        <w:spacing w:line="240" w:lineRule="auto"/>
        <w:rPr>
          <w:sz w:val="17"/>
          <w:szCs w:val="17"/>
        </w:rPr>
      </w:pPr>
      <w:r>
        <w:rPr>
          <w:sz w:val="17"/>
          <w:szCs w:val="17"/>
        </w:rPr>
        <w:t>2.</w:t>
      </w:r>
      <w:r w:rsidR="000C750F" w:rsidRPr="000C750F">
        <w:rPr>
          <w:sz w:val="17"/>
          <w:szCs w:val="17"/>
        </w:rPr>
        <w:t xml:space="preserve"> Afhængigt af omstændighederne i hver enkelt sag pålægges administrative bøder i tillæg til eller i stedet for foranstaltninger som omhandlet i artikel 58, stk. 2, litra </w:t>
      </w:r>
      <w:proofErr w:type="gramStart"/>
      <w:r w:rsidR="000C750F" w:rsidRPr="000C750F">
        <w:rPr>
          <w:sz w:val="17"/>
          <w:szCs w:val="17"/>
        </w:rPr>
        <w:t>a)-</w:t>
      </w:r>
      <w:proofErr w:type="gramEnd"/>
      <w:r w:rsidR="000C750F" w:rsidRPr="000C750F">
        <w:rPr>
          <w:sz w:val="17"/>
          <w:szCs w:val="17"/>
        </w:rPr>
        <w:t>h) og j). Når der træffes afgørelse om, hvorvidt der skal pålægges en administrativ bøde, og om den administrative bødes størrelse i hver enkelt sag, tages de</w:t>
      </w:r>
      <w:r w:rsidR="000C750F">
        <w:rPr>
          <w:sz w:val="17"/>
          <w:szCs w:val="17"/>
        </w:rPr>
        <w:t>r behørigt hensyn til følgende:</w:t>
      </w:r>
    </w:p>
    <w:p w14:paraId="03A73F35" w14:textId="77777777" w:rsidR="000C750F" w:rsidRPr="000C750F" w:rsidRDefault="000C750F" w:rsidP="002F2FFA">
      <w:pPr>
        <w:spacing w:line="240" w:lineRule="auto"/>
        <w:ind w:left="284"/>
        <w:rPr>
          <w:sz w:val="17"/>
          <w:szCs w:val="17"/>
        </w:rPr>
      </w:pPr>
      <w:r>
        <w:rPr>
          <w:sz w:val="17"/>
          <w:szCs w:val="17"/>
        </w:rPr>
        <w:t xml:space="preserve">a) </w:t>
      </w:r>
      <w:r w:rsidRPr="000C750F">
        <w:rPr>
          <w:sz w:val="17"/>
          <w:szCs w:val="17"/>
        </w:rPr>
        <w:t>overtrædelsens karakter, alvor og varighed under hensyntagen til pågældende behandlings karakter, omfang eller formål samt antal registrerede, der er berørt, og omfanget af den skade, som de har lidt</w:t>
      </w:r>
    </w:p>
    <w:p w14:paraId="42307A51" w14:textId="77777777" w:rsidR="000C750F" w:rsidRPr="000C750F" w:rsidRDefault="000C750F" w:rsidP="002F2FFA">
      <w:pPr>
        <w:spacing w:line="240" w:lineRule="auto"/>
        <w:ind w:left="284"/>
        <w:rPr>
          <w:sz w:val="17"/>
          <w:szCs w:val="17"/>
        </w:rPr>
      </w:pPr>
      <w:r>
        <w:rPr>
          <w:sz w:val="17"/>
          <w:szCs w:val="17"/>
        </w:rPr>
        <w:t xml:space="preserve">b) </w:t>
      </w:r>
      <w:r w:rsidRPr="000C750F">
        <w:rPr>
          <w:sz w:val="17"/>
          <w:szCs w:val="17"/>
        </w:rPr>
        <w:t>hvorvidt overtrædelsen blev begået forsætligt eller uagtsomt</w:t>
      </w:r>
    </w:p>
    <w:p w14:paraId="58D159C1" w14:textId="77777777" w:rsidR="000C750F" w:rsidRPr="000C750F" w:rsidRDefault="000C750F" w:rsidP="002F2FFA">
      <w:pPr>
        <w:spacing w:line="240" w:lineRule="auto"/>
        <w:ind w:left="284"/>
        <w:rPr>
          <w:sz w:val="17"/>
          <w:szCs w:val="17"/>
        </w:rPr>
      </w:pPr>
      <w:r>
        <w:rPr>
          <w:sz w:val="17"/>
          <w:szCs w:val="17"/>
        </w:rPr>
        <w:t xml:space="preserve">c) </w:t>
      </w:r>
      <w:r w:rsidRPr="000C750F">
        <w:rPr>
          <w:sz w:val="17"/>
          <w:szCs w:val="17"/>
        </w:rPr>
        <w:t>eventuelle foranstaltninger, der er truffet af den dataansvarlige eller databehandleren for at begrænse den skade, som den registrerede har lidt</w:t>
      </w:r>
    </w:p>
    <w:p w14:paraId="726D2344" w14:textId="77777777" w:rsidR="000C750F" w:rsidRPr="000C750F" w:rsidRDefault="000C750F" w:rsidP="002F2FFA">
      <w:pPr>
        <w:spacing w:line="240" w:lineRule="auto"/>
        <w:ind w:left="284"/>
        <w:rPr>
          <w:sz w:val="17"/>
          <w:szCs w:val="17"/>
        </w:rPr>
      </w:pPr>
      <w:r>
        <w:rPr>
          <w:sz w:val="17"/>
          <w:szCs w:val="17"/>
        </w:rPr>
        <w:t xml:space="preserve">d) </w:t>
      </w:r>
      <w:r w:rsidRPr="000C750F">
        <w:rPr>
          <w:sz w:val="17"/>
          <w:szCs w:val="17"/>
        </w:rPr>
        <w:t>den dataansvarliges eller databehandlerens grad af ansvar under hensyntagen til tekniske og organisatoriske foranstaltninger, som de har gennemført i henhold til artikel 25 og 32</w:t>
      </w:r>
    </w:p>
    <w:p w14:paraId="5FEEE5F5" w14:textId="77777777" w:rsidR="000C750F" w:rsidRPr="000C750F" w:rsidRDefault="000C750F" w:rsidP="002F2FFA">
      <w:pPr>
        <w:spacing w:line="240" w:lineRule="auto"/>
        <w:ind w:left="284"/>
        <w:rPr>
          <w:sz w:val="17"/>
          <w:szCs w:val="17"/>
        </w:rPr>
      </w:pPr>
      <w:r>
        <w:rPr>
          <w:sz w:val="17"/>
          <w:szCs w:val="17"/>
        </w:rPr>
        <w:t xml:space="preserve">e) </w:t>
      </w:r>
      <w:r w:rsidRPr="000C750F">
        <w:rPr>
          <w:sz w:val="17"/>
          <w:szCs w:val="17"/>
        </w:rPr>
        <w:t>den dataansvarliges eller databehandlerens eventuelle re</w:t>
      </w:r>
      <w:r>
        <w:rPr>
          <w:sz w:val="17"/>
          <w:szCs w:val="17"/>
        </w:rPr>
        <w:t>levante tidligere overtrædelser</w:t>
      </w:r>
    </w:p>
    <w:p w14:paraId="6AF8C463" w14:textId="77777777" w:rsidR="000C750F" w:rsidRPr="000C750F" w:rsidRDefault="000C750F" w:rsidP="002F2FFA">
      <w:pPr>
        <w:spacing w:line="240" w:lineRule="auto"/>
        <w:ind w:left="284"/>
        <w:rPr>
          <w:sz w:val="17"/>
          <w:szCs w:val="17"/>
        </w:rPr>
      </w:pPr>
      <w:r>
        <w:rPr>
          <w:sz w:val="17"/>
          <w:szCs w:val="17"/>
        </w:rPr>
        <w:t xml:space="preserve">f) </w:t>
      </w:r>
      <w:r w:rsidRPr="000C750F">
        <w:rPr>
          <w:sz w:val="17"/>
          <w:szCs w:val="17"/>
        </w:rPr>
        <w:t>graden af samarbejde med tilsynsmyndigheden for at afhjælpe overtrædelsen og begrænse de negative konsekvenser, som overtrædelsen måtte have givet anledning</w:t>
      </w:r>
      <w:r>
        <w:rPr>
          <w:sz w:val="17"/>
          <w:szCs w:val="17"/>
        </w:rPr>
        <w:t xml:space="preserve"> til</w:t>
      </w:r>
    </w:p>
    <w:p w14:paraId="649308BE" w14:textId="77777777" w:rsidR="000C750F" w:rsidRPr="000C750F" w:rsidRDefault="000C750F" w:rsidP="002F2FFA">
      <w:pPr>
        <w:spacing w:line="240" w:lineRule="auto"/>
        <w:ind w:left="284"/>
        <w:rPr>
          <w:sz w:val="17"/>
          <w:szCs w:val="17"/>
        </w:rPr>
      </w:pPr>
      <w:r>
        <w:rPr>
          <w:sz w:val="17"/>
          <w:szCs w:val="17"/>
        </w:rPr>
        <w:t xml:space="preserve">g) </w:t>
      </w:r>
      <w:r w:rsidRPr="000C750F">
        <w:rPr>
          <w:sz w:val="17"/>
          <w:szCs w:val="17"/>
        </w:rPr>
        <w:t>de kategorier af personoplysninger, der er berørt af overtrædelsen</w:t>
      </w:r>
    </w:p>
    <w:p w14:paraId="77C347BF" w14:textId="77777777" w:rsidR="000C750F" w:rsidRPr="000C750F" w:rsidRDefault="000C750F" w:rsidP="002F2FFA">
      <w:pPr>
        <w:spacing w:line="240" w:lineRule="auto"/>
        <w:ind w:left="284"/>
        <w:rPr>
          <w:sz w:val="17"/>
          <w:szCs w:val="17"/>
        </w:rPr>
      </w:pPr>
      <w:r w:rsidRPr="000C750F">
        <w:rPr>
          <w:sz w:val="17"/>
          <w:szCs w:val="17"/>
        </w:rPr>
        <w:t>h)</w:t>
      </w:r>
      <w:r>
        <w:rPr>
          <w:sz w:val="17"/>
          <w:szCs w:val="17"/>
        </w:rPr>
        <w:t xml:space="preserve"> </w:t>
      </w:r>
      <w:r w:rsidRPr="000C750F">
        <w:rPr>
          <w:sz w:val="17"/>
          <w:szCs w:val="17"/>
        </w:rPr>
        <w:t>den måde, hvorpå tilsynsmyndigheden fik kendskab til overtrædelsen, navnlig om den dataansvarlige eller databehandleren har underrettet om overtrædelsen, og i givet fald i hvilket omfang</w:t>
      </w:r>
    </w:p>
    <w:p w14:paraId="19A46BB7" w14:textId="77777777" w:rsidR="000C750F" w:rsidRPr="000C750F" w:rsidRDefault="000C750F" w:rsidP="002F2FFA">
      <w:pPr>
        <w:spacing w:line="240" w:lineRule="auto"/>
        <w:ind w:left="284"/>
        <w:rPr>
          <w:sz w:val="17"/>
          <w:szCs w:val="17"/>
        </w:rPr>
      </w:pPr>
      <w:r>
        <w:rPr>
          <w:sz w:val="17"/>
          <w:szCs w:val="17"/>
        </w:rPr>
        <w:t xml:space="preserve">i) </w:t>
      </w:r>
      <w:r w:rsidRPr="000C750F">
        <w:rPr>
          <w:sz w:val="17"/>
          <w:szCs w:val="17"/>
        </w:rPr>
        <w:t>overholdelse af de foranstaltninger, der er omhandlet i artikel 58, stk. 2, hvis der tidligere over for den pågældende dataansvarlige eller databehandler er blevet truffet sådanne foranstaltninge</w:t>
      </w:r>
      <w:r>
        <w:rPr>
          <w:sz w:val="17"/>
          <w:szCs w:val="17"/>
        </w:rPr>
        <w:t>r med hensyn til samme genstand</w:t>
      </w:r>
    </w:p>
    <w:p w14:paraId="53C512BD" w14:textId="77777777" w:rsidR="000C750F" w:rsidRPr="000C750F" w:rsidRDefault="000C750F" w:rsidP="002F2FFA">
      <w:pPr>
        <w:spacing w:line="240" w:lineRule="auto"/>
        <w:ind w:left="284"/>
        <w:rPr>
          <w:sz w:val="17"/>
          <w:szCs w:val="17"/>
        </w:rPr>
      </w:pPr>
      <w:r>
        <w:rPr>
          <w:sz w:val="17"/>
          <w:szCs w:val="17"/>
        </w:rPr>
        <w:t xml:space="preserve">j) </w:t>
      </w:r>
      <w:r w:rsidRPr="000C750F">
        <w:rPr>
          <w:sz w:val="17"/>
          <w:szCs w:val="17"/>
        </w:rPr>
        <w:t>overholdelse af godkendte adfærdskodekser i henhold til artikel 40 eller godkendte certificeringsmekanism</w:t>
      </w:r>
      <w:r>
        <w:rPr>
          <w:sz w:val="17"/>
          <w:szCs w:val="17"/>
        </w:rPr>
        <w:t>er i henhold til artikel 42, og</w:t>
      </w:r>
    </w:p>
    <w:p w14:paraId="4A6CAC89" w14:textId="77777777" w:rsidR="000C750F" w:rsidRPr="000C750F" w:rsidRDefault="000C750F" w:rsidP="002F2FFA">
      <w:pPr>
        <w:spacing w:line="240" w:lineRule="auto"/>
        <w:ind w:left="284"/>
        <w:rPr>
          <w:sz w:val="17"/>
          <w:szCs w:val="17"/>
        </w:rPr>
      </w:pPr>
      <w:r>
        <w:rPr>
          <w:sz w:val="17"/>
          <w:szCs w:val="17"/>
        </w:rPr>
        <w:t xml:space="preserve">k) </w:t>
      </w:r>
      <w:r w:rsidRPr="000C750F">
        <w:rPr>
          <w:sz w:val="17"/>
          <w:szCs w:val="17"/>
        </w:rPr>
        <w:t>om der er andre skærpende eller formildende faktorer ved sagens omstændigheder, såsom opnåede økonomiske fordele eller undgåede tab som direkte eller in</w:t>
      </w:r>
      <w:r>
        <w:rPr>
          <w:sz w:val="17"/>
          <w:szCs w:val="17"/>
        </w:rPr>
        <w:t>direkte følge af overtrædelsen.</w:t>
      </w:r>
    </w:p>
    <w:p w14:paraId="4623CF5F" w14:textId="77777777" w:rsidR="000C750F" w:rsidRPr="000C750F" w:rsidRDefault="00D56D31" w:rsidP="002F2FFA">
      <w:pPr>
        <w:spacing w:line="240" w:lineRule="auto"/>
        <w:rPr>
          <w:sz w:val="17"/>
          <w:szCs w:val="17"/>
        </w:rPr>
      </w:pPr>
      <w:r>
        <w:rPr>
          <w:sz w:val="17"/>
          <w:szCs w:val="17"/>
        </w:rPr>
        <w:t>3.</w:t>
      </w:r>
      <w:r w:rsidR="000C750F" w:rsidRPr="000C750F">
        <w:rPr>
          <w:sz w:val="17"/>
          <w:szCs w:val="17"/>
        </w:rPr>
        <w:t xml:space="preserve"> Hvis en dataansvarlig eller en databehandler forsætligt eller uagtsomt i forbindelse med de samme eller forbundne behandlingsaktiviteter overtræder flere bestemmelser i denne forordning, må den administrative bødes samlede størrelse ikke overstige beløbet fo</w:t>
      </w:r>
      <w:r w:rsidR="000C750F">
        <w:rPr>
          <w:sz w:val="17"/>
          <w:szCs w:val="17"/>
        </w:rPr>
        <w:t>r den alvorligste overtrædelse.</w:t>
      </w:r>
    </w:p>
    <w:p w14:paraId="66D753EA" w14:textId="77777777" w:rsidR="000C750F" w:rsidRPr="000C750F" w:rsidRDefault="00D56D31" w:rsidP="002F2FFA">
      <w:pPr>
        <w:spacing w:line="240" w:lineRule="auto"/>
        <w:rPr>
          <w:sz w:val="17"/>
          <w:szCs w:val="17"/>
        </w:rPr>
      </w:pPr>
      <w:r>
        <w:rPr>
          <w:sz w:val="17"/>
          <w:szCs w:val="17"/>
        </w:rPr>
        <w:t>4.</w:t>
      </w:r>
      <w:r w:rsidR="000C750F" w:rsidRPr="000C750F">
        <w:rPr>
          <w:sz w:val="17"/>
          <w:szCs w:val="17"/>
        </w:rPr>
        <w:t xml:space="preserve"> Overtrædelse af følgende bestemmelser straffes i overensstemmelse med stk. 2 med administrative bøder på op til 10 000 000 EUR, eller hvis det drejer sig om en virksomhed, med op til 2 % af dens samlede globale årlige omsætning i det foregående regnskabsår,</w:t>
      </w:r>
      <w:r w:rsidR="000C750F">
        <w:rPr>
          <w:sz w:val="17"/>
          <w:szCs w:val="17"/>
        </w:rPr>
        <w:t xml:space="preserve"> såfremt dette beløb er højere:</w:t>
      </w:r>
    </w:p>
    <w:p w14:paraId="6DBB2121" w14:textId="77777777" w:rsidR="000C750F" w:rsidRPr="000C750F" w:rsidRDefault="000C750F" w:rsidP="002F2FFA">
      <w:pPr>
        <w:spacing w:line="240" w:lineRule="auto"/>
        <w:ind w:firstLine="284"/>
        <w:rPr>
          <w:sz w:val="17"/>
          <w:szCs w:val="17"/>
        </w:rPr>
      </w:pPr>
      <w:r>
        <w:rPr>
          <w:sz w:val="17"/>
          <w:szCs w:val="17"/>
        </w:rPr>
        <w:t xml:space="preserve">a) </w:t>
      </w:r>
      <w:r w:rsidRPr="000C750F">
        <w:rPr>
          <w:sz w:val="17"/>
          <w:szCs w:val="17"/>
        </w:rPr>
        <w:t>den dataansvarliges og databehandlerens forpligtelser i henhold til artikel 8, 11, 25-39 og 42 og 43</w:t>
      </w:r>
    </w:p>
    <w:p w14:paraId="3EF2E91F" w14:textId="77777777" w:rsidR="000C750F" w:rsidRPr="000C750F" w:rsidRDefault="000C750F" w:rsidP="002F2FFA">
      <w:pPr>
        <w:spacing w:line="240" w:lineRule="auto"/>
        <w:ind w:firstLine="284"/>
        <w:rPr>
          <w:sz w:val="17"/>
          <w:szCs w:val="17"/>
        </w:rPr>
      </w:pPr>
      <w:r>
        <w:rPr>
          <w:sz w:val="17"/>
          <w:szCs w:val="17"/>
        </w:rPr>
        <w:t xml:space="preserve">b) </w:t>
      </w:r>
      <w:r w:rsidRPr="000C750F">
        <w:rPr>
          <w:sz w:val="17"/>
          <w:szCs w:val="17"/>
        </w:rPr>
        <w:t>certificeringsorganets forpligtelser i henhold til arti</w:t>
      </w:r>
      <w:r>
        <w:rPr>
          <w:sz w:val="17"/>
          <w:szCs w:val="17"/>
        </w:rPr>
        <w:t>kel 42 og 43</w:t>
      </w:r>
    </w:p>
    <w:p w14:paraId="07E6271A" w14:textId="77777777" w:rsidR="000C750F" w:rsidRPr="000C750F" w:rsidRDefault="000C750F" w:rsidP="002F2FFA">
      <w:pPr>
        <w:spacing w:line="240" w:lineRule="auto"/>
        <w:ind w:firstLine="284"/>
        <w:rPr>
          <w:sz w:val="17"/>
          <w:szCs w:val="17"/>
        </w:rPr>
      </w:pPr>
      <w:r>
        <w:rPr>
          <w:sz w:val="17"/>
          <w:szCs w:val="17"/>
        </w:rPr>
        <w:t xml:space="preserve">c) </w:t>
      </w:r>
      <w:r w:rsidRPr="000C750F">
        <w:rPr>
          <w:sz w:val="17"/>
          <w:szCs w:val="17"/>
        </w:rPr>
        <w:t xml:space="preserve">kontrolorganets forpligtelser i </w:t>
      </w:r>
      <w:r>
        <w:rPr>
          <w:sz w:val="17"/>
          <w:szCs w:val="17"/>
        </w:rPr>
        <w:t>henhold til artikel 41, stk. 4.</w:t>
      </w:r>
    </w:p>
    <w:p w14:paraId="2376C5F2" w14:textId="77777777" w:rsidR="000C750F" w:rsidRPr="000C750F" w:rsidRDefault="00D56D31" w:rsidP="002F2FFA">
      <w:pPr>
        <w:spacing w:line="240" w:lineRule="auto"/>
        <w:rPr>
          <w:sz w:val="17"/>
          <w:szCs w:val="17"/>
        </w:rPr>
      </w:pPr>
      <w:r>
        <w:rPr>
          <w:sz w:val="17"/>
          <w:szCs w:val="17"/>
        </w:rPr>
        <w:t>5.</w:t>
      </w:r>
      <w:r w:rsidR="000C750F" w:rsidRPr="000C750F">
        <w:rPr>
          <w:sz w:val="17"/>
          <w:szCs w:val="17"/>
        </w:rPr>
        <w:t xml:space="preserve"> Overtrædelse af følgende bestemmelser straffes i overensstemmelse med stk. 2 med administrative bøder på op til 20 000 000 EUR, eller hvis det drejer sig om en virksomhed, med op til 4 % af dens samlede globale årlige omsætning i det foregående regnskabsår,</w:t>
      </w:r>
      <w:r w:rsidR="000C750F">
        <w:rPr>
          <w:sz w:val="17"/>
          <w:szCs w:val="17"/>
        </w:rPr>
        <w:t xml:space="preserve"> såfremt dette beløb er højere:</w:t>
      </w:r>
    </w:p>
    <w:p w14:paraId="1E94A2EB" w14:textId="77777777" w:rsidR="000C750F" w:rsidRPr="000C750F" w:rsidRDefault="000C750F" w:rsidP="002F2FFA">
      <w:pPr>
        <w:spacing w:line="240" w:lineRule="auto"/>
        <w:ind w:left="284"/>
        <w:rPr>
          <w:sz w:val="17"/>
          <w:szCs w:val="17"/>
        </w:rPr>
      </w:pPr>
      <w:r>
        <w:rPr>
          <w:sz w:val="17"/>
          <w:szCs w:val="17"/>
        </w:rPr>
        <w:t xml:space="preserve">a) </w:t>
      </w:r>
      <w:r w:rsidRPr="000C750F">
        <w:rPr>
          <w:sz w:val="17"/>
          <w:szCs w:val="17"/>
        </w:rPr>
        <w:t>de grundlæggende principper for behandling, herunder betingelserne for samtykke, i artikel 5, 6, 7 og 9</w:t>
      </w:r>
    </w:p>
    <w:p w14:paraId="473AC838" w14:textId="77777777" w:rsidR="000C750F" w:rsidRPr="000C750F" w:rsidRDefault="000C750F" w:rsidP="002F2FFA">
      <w:pPr>
        <w:spacing w:line="240" w:lineRule="auto"/>
        <w:ind w:left="284"/>
        <w:rPr>
          <w:sz w:val="17"/>
          <w:szCs w:val="17"/>
        </w:rPr>
      </w:pPr>
      <w:r>
        <w:rPr>
          <w:sz w:val="17"/>
          <w:szCs w:val="17"/>
        </w:rPr>
        <w:t xml:space="preserve">b) </w:t>
      </w:r>
      <w:r w:rsidRPr="000C750F">
        <w:rPr>
          <w:sz w:val="17"/>
          <w:szCs w:val="17"/>
        </w:rPr>
        <w:t>de registreredes rettigheder i henhold til artikel 12-22</w:t>
      </w:r>
    </w:p>
    <w:p w14:paraId="351FE4AF" w14:textId="77777777" w:rsidR="000C750F" w:rsidRPr="000C750F" w:rsidRDefault="000C750F" w:rsidP="002F2FFA">
      <w:pPr>
        <w:spacing w:line="240" w:lineRule="auto"/>
        <w:ind w:left="284"/>
        <w:rPr>
          <w:sz w:val="17"/>
          <w:szCs w:val="17"/>
        </w:rPr>
      </w:pPr>
      <w:r>
        <w:rPr>
          <w:sz w:val="17"/>
          <w:szCs w:val="17"/>
        </w:rPr>
        <w:t xml:space="preserve">c) </w:t>
      </w:r>
      <w:r w:rsidRPr="000C750F">
        <w:rPr>
          <w:sz w:val="17"/>
          <w:szCs w:val="17"/>
        </w:rPr>
        <w:t>overførsel af personoplysninger til en modtager i et tredjeland eller en international organisation i henhold til artikel 44-49</w:t>
      </w:r>
    </w:p>
    <w:p w14:paraId="2394ED56" w14:textId="77777777" w:rsidR="000C750F" w:rsidRPr="000C750F" w:rsidRDefault="000C750F" w:rsidP="002F2FFA">
      <w:pPr>
        <w:spacing w:line="240" w:lineRule="auto"/>
        <w:ind w:left="284"/>
        <w:rPr>
          <w:sz w:val="17"/>
          <w:szCs w:val="17"/>
        </w:rPr>
      </w:pPr>
      <w:r>
        <w:rPr>
          <w:sz w:val="17"/>
          <w:szCs w:val="17"/>
        </w:rPr>
        <w:t xml:space="preserve">d) </w:t>
      </w:r>
      <w:r w:rsidRPr="000C750F">
        <w:rPr>
          <w:sz w:val="17"/>
          <w:szCs w:val="17"/>
        </w:rPr>
        <w:t>eventuelle forpligtigelser i medfør af medlemsstaternes nationale ret vedtaget i henhold til kapitel IX</w:t>
      </w:r>
    </w:p>
    <w:p w14:paraId="2361B4F7" w14:textId="77777777" w:rsidR="000C750F" w:rsidRPr="000C750F" w:rsidRDefault="000C750F" w:rsidP="002F2FFA">
      <w:pPr>
        <w:spacing w:line="240" w:lineRule="auto"/>
        <w:ind w:left="284"/>
        <w:rPr>
          <w:sz w:val="17"/>
          <w:szCs w:val="17"/>
        </w:rPr>
      </w:pPr>
      <w:r>
        <w:rPr>
          <w:sz w:val="17"/>
          <w:szCs w:val="17"/>
        </w:rPr>
        <w:t xml:space="preserve">e) </w:t>
      </w:r>
      <w:r w:rsidRPr="000C750F">
        <w:rPr>
          <w:sz w:val="17"/>
          <w:szCs w:val="17"/>
        </w:rPr>
        <w:t xml:space="preserve">manglende overholdelse af et påbud eller en midlertidig eller definitiv begrænsning af behandling eller tilsynsmyndighedens suspension af overførsel af oplysninger i henhold til artikel 58, stk. 2, eller manglende adgang </w:t>
      </w:r>
      <w:r>
        <w:rPr>
          <w:sz w:val="17"/>
          <w:szCs w:val="17"/>
        </w:rPr>
        <w:t>i strid med artikel 58, stk. 1.</w:t>
      </w:r>
    </w:p>
    <w:p w14:paraId="76682E76" w14:textId="77777777" w:rsidR="000C750F" w:rsidRPr="000C750F" w:rsidRDefault="00D56D31" w:rsidP="002F2FFA">
      <w:pPr>
        <w:spacing w:line="240" w:lineRule="auto"/>
        <w:rPr>
          <w:sz w:val="17"/>
          <w:szCs w:val="17"/>
        </w:rPr>
      </w:pPr>
      <w:r>
        <w:rPr>
          <w:sz w:val="17"/>
          <w:szCs w:val="17"/>
        </w:rPr>
        <w:t>6.</w:t>
      </w:r>
      <w:r w:rsidR="000C750F" w:rsidRPr="000C750F">
        <w:rPr>
          <w:sz w:val="17"/>
          <w:szCs w:val="17"/>
        </w:rPr>
        <w:t xml:space="preserve"> Manglende overholdelse af et påbud fra tilsynsmyndigheden som omhandlet i artikel 58, stk. 2, straffes i overensstemmelse med nærværende artikels stk. 2 med administrative bøder på op til 20 000 000 EUR, eller hvis det drejer </w:t>
      </w:r>
      <w:r w:rsidR="000C750F" w:rsidRPr="000C750F">
        <w:rPr>
          <w:sz w:val="17"/>
          <w:szCs w:val="17"/>
        </w:rPr>
        <w:lastRenderedPageBreak/>
        <w:t>sig om en virksomhed, med op til 4 % af dens samlede globale årlige omsætning i det foregående regnskabsår,</w:t>
      </w:r>
      <w:r w:rsidR="000C750F">
        <w:rPr>
          <w:sz w:val="17"/>
          <w:szCs w:val="17"/>
        </w:rPr>
        <w:t xml:space="preserve"> såfremt dette beløb er højere.</w:t>
      </w:r>
    </w:p>
    <w:p w14:paraId="15CB50B1" w14:textId="77777777" w:rsidR="000C750F" w:rsidRPr="000C750F" w:rsidRDefault="00D56D31" w:rsidP="002F2FFA">
      <w:pPr>
        <w:spacing w:line="240" w:lineRule="auto"/>
        <w:rPr>
          <w:sz w:val="17"/>
          <w:szCs w:val="17"/>
        </w:rPr>
      </w:pPr>
      <w:r>
        <w:rPr>
          <w:sz w:val="17"/>
          <w:szCs w:val="17"/>
        </w:rPr>
        <w:t xml:space="preserve">7. </w:t>
      </w:r>
      <w:r w:rsidR="000C750F" w:rsidRPr="000C750F">
        <w:rPr>
          <w:sz w:val="17"/>
          <w:szCs w:val="17"/>
        </w:rPr>
        <w:t>Uden at det berører tilsynsmyndighedernes korrigerende beføjelser i henhold til artikel 58, stk. 2, kan hver medlemsstat fastsætte regler om, hvorvidt og i hvilket omfang administrative bøder må pålægges offentlige myndigheder og organer, der er etablere</w:t>
      </w:r>
      <w:r w:rsidR="000C750F">
        <w:rPr>
          <w:sz w:val="17"/>
          <w:szCs w:val="17"/>
        </w:rPr>
        <w:t>t i den pågældende medlemsstat.</w:t>
      </w:r>
    </w:p>
    <w:p w14:paraId="33E35877" w14:textId="77777777" w:rsidR="000C750F" w:rsidRPr="000C750F" w:rsidRDefault="00D56D31" w:rsidP="002F2FFA">
      <w:pPr>
        <w:spacing w:line="240" w:lineRule="auto"/>
        <w:rPr>
          <w:sz w:val="17"/>
          <w:szCs w:val="17"/>
        </w:rPr>
      </w:pPr>
      <w:r>
        <w:rPr>
          <w:sz w:val="17"/>
          <w:szCs w:val="17"/>
        </w:rPr>
        <w:t xml:space="preserve">8. </w:t>
      </w:r>
      <w:r w:rsidR="000C750F" w:rsidRPr="000C750F">
        <w:rPr>
          <w:sz w:val="17"/>
          <w:szCs w:val="17"/>
        </w:rPr>
        <w:t>Tilsynsmyndighedens udøvelse af beføjelser i henhold til denne artikel skal være underlagt fornødne proceduremæssige garantier i overensstemmelse med EU-retten og medlemsstaternes nationale ret, bl.a. effektive ret</w:t>
      </w:r>
      <w:r w:rsidR="000C750F">
        <w:rPr>
          <w:sz w:val="17"/>
          <w:szCs w:val="17"/>
        </w:rPr>
        <w:t>smidler og retfærdig procedure.</w:t>
      </w:r>
    </w:p>
    <w:p w14:paraId="33C58F9E" w14:textId="77777777" w:rsidR="00D03A11" w:rsidRPr="000C750F" w:rsidRDefault="00D56D31" w:rsidP="002F2FFA">
      <w:pPr>
        <w:spacing w:line="240" w:lineRule="auto"/>
        <w:rPr>
          <w:sz w:val="17"/>
          <w:szCs w:val="17"/>
        </w:rPr>
      </w:pPr>
      <w:r>
        <w:rPr>
          <w:sz w:val="17"/>
          <w:szCs w:val="17"/>
        </w:rPr>
        <w:t xml:space="preserve">9. </w:t>
      </w:r>
      <w:r w:rsidR="000C750F" w:rsidRPr="000C750F">
        <w:rPr>
          <w:sz w:val="17"/>
          <w:szCs w:val="17"/>
        </w:rPr>
        <w:t>Hvis en medlemsstats retssystem ikke giver mulighed for at pålægge administrative bøder, kan denne artikel anvendes på en sådan måde, at den kompetente tilsynsmyndighed tager skridt til bøder, og de kompetente nationale domstole pålægger dem, idet det sikres, at disse retsmidler er effektive, og at deres virkning svarer til virkningen af administrative bøder, som pålægges af tilsynsmyndighederne. Bøder skal under alle omstændigheder være effektive, stå i rimeligt forhold til overtrædelsen og have afskrækkende virkning. De pågældende medlemsstater giver Kommissionen meddelelse om bestemmelserne i deres love, som de vedtager i henhold til dette stykke, senest den 25. maj 2018 og underretter den straks om alle senere ændringslove eller ændringer, der berører dem.</w:t>
      </w:r>
    </w:p>
    <w:sectPr w:rsidR="00D03A11" w:rsidRPr="000C750F" w:rsidSect="009E3A2F">
      <w:headerReference w:type="even" r:id="rId8"/>
      <w:headerReference w:type="default" r:id="rId9"/>
      <w:footerReference w:type="even" r:id="rId10"/>
      <w:footerReference w:type="default" r:id="rId11"/>
      <w:headerReference w:type="first" r:id="rId12"/>
      <w:footerReference w:type="first" r:id="rId13"/>
      <w:pgSz w:w="11907" w:h="16840" w:code="9"/>
      <w:pgMar w:top="2551" w:right="198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85CC" w14:textId="77777777" w:rsidR="001E0E60" w:rsidRDefault="001E0E60">
      <w:r>
        <w:separator/>
      </w:r>
    </w:p>
  </w:endnote>
  <w:endnote w:type="continuationSeparator" w:id="0">
    <w:p w14:paraId="66ED1913" w14:textId="77777777" w:rsidR="001E0E60" w:rsidRDefault="001E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CC3B" w14:textId="77777777" w:rsidR="00CD3541" w:rsidRDefault="009D7A02">
    <w:pPr>
      <w:pStyle w:val="Sidefod"/>
      <w:framePr w:wrap="around" w:vAnchor="text" w:hAnchor="margin" w:xAlign="right" w:y="1"/>
      <w:rPr>
        <w:rStyle w:val="Sidetal"/>
      </w:rPr>
    </w:pPr>
    <w:r>
      <w:rPr>
        <w:rStyle w:val="Sidetal"/>
      </w:rPr>
      <w:fldChar w:fldCharType="begin"/>
    </w:r>
    <w:r w:rsidR="00CD3541">
      <w:rPr>
        <w:rStyle w:val="Sidetal"/>
      </w:rPr>
      <w:instrText xml:space="preserve">PAGE  </w:instrText>
    </w:r>
    <w:r>
      <w:rPr>
        <w:rStyle w:val="Sidetal"/>
      </w:rPr>
      <w:fldChar w:fldCharType="separate"/>
    </w:r>
    <w:r w:rsidR="00CD3541">
      <w:rPr>
        <w:rStyle w:val="Sidetal"/>
        <w:noProof/>
      </w:rPr>
      <w:t>1</w:t>
    </w:r>
    <w:r>
      <w:rPr>
        <w:rStyle w:val="Sidetal"/>
      </w:rPr>
      <w:fldChar w:fldCharType="end"/>
    </w:r>
  </w:p>
  <w:p w14:paraId="079ED418" w14:textId="77777777" w:rsidR="00CD3541" w:rsidRDefault="00CD35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57599"/>
      <w:docPartObj>
        <w:docPartGallery w:val="Page Numbers (Bottom of Page)"/>
        <w:docPartUnique/>
      </w:docPartObj>
    </w:sdtPr>
    <w:sdtEndPr/>
    <w:sdtContent>
      <w:sdt>
        <w:sdtPr>
          <w:id w:val="-1545677408"/>
          <w:docPartObj>
            <w:docPartGallery w:val="Page Numbers (Top of Page)"/>
            <w:docPartUnique/>
          </w:docPartObj>
        </w:sdtPr>
        <w:sdtEndPr/>
        <w:sdtContent>
          <w:p w14:paraId="47520AE3" w14:textId="77777777" w:rsidR="00730FDB" w:rsidRDefault="00913847" w:rsidP="00913847">
            <w:pPr>
              <w:pStyle w:val="Sidehoved"/>
              <w:spacing w:before="120"/>
              <w:jc w:val="right"/>
            </w:pPr>
            <w:r>
              <w:t xml:space="preserve">- </w:t>
            </w:r>
            <w:r>
              <w:rPr>
                <w:rStyle w:val="Sidetal"/>
              </w:rPr>
              <w:fldChar w:fldCharType="begin"/>
            </w:r>
            <w:r>
              <w:rPr>
                <w:rStyle w:val="Sidetal"/>
              </w:rPr>
              <w:instrText xml:space="preserve"> PAGE </w:instrText>
            </w:r>
            <w:r>
              <w:rPr>
                <w:rStyle w:val="Sidetal"/>
              </w:rPr>
              <w:fldChar w:fldCharType="separate"/>
            </w:r>
            <w:r w:rsidR="009E3A2F">
              <w:rPr>
                <w:rStyle w:val="Sidetal"/>
                <w:noProof/>
              </w:rPr>
              <w:t>1</w:t>
            </w:r>
            <w:r>
              <w:rPr>
                <w:rStyle w:val="Sidetal"/>
              </w:rPr>
              <w:fldChar w:fldCharType="end"/>
            </w:r>
            <w:r>
              <w:rPr>
                <w:rStyle w:val="Sidetal"/>
              </w:rPr>
              <w:t xml:space="preserve"> -</w:t>
            </w:r>
          </w:p>
        </w:sdtContent>
      </w:sdt>
    </w:sdtContent>
  </w:sdt>
  <w:p w14:paraId="3178706C" w14:textId="77777777" w:rsidR="00CD3541" w:rsidRPr="005C4D38" w:rsidRDefault="00CD3541" w:rsidP="00560B20">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F606" w14:textId="77777777" w:rsidR="009E3A2F" w:rsidRDefault="009E3A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2497" w14:textId="77777777" w:rsidR="001E0E60" w:rsidRDefault="001E0E60">
      <w:r>
        <w:separator/>
      </w:r>
    </w:p>
  </w:footnote>
  <w:footnote w:type="continuationSeparator" w:id="0">
    <w:p w14:paraId="7C158861" w14:textId="77777777" w:rsidR="001E0E60" w:rsidRDefault="001E0E60">
      <w:r>
        <w:continuationSeparator/>
      </w:r>
    </w:p>
  </w:footnote>
  <w:footnote w:id="1">
    <w:p w14:paraId="057DB291" w14:textId="77777777" w:rsidR="00EB2E0C" w:rsidRPr="00EB2E0C" w:rsidRDefault="00EB2E0C">
      <w:pPr>
        <w:pStyle w:val="Fodnotetekst"/>
        <w:rPr>
          <w:sz w:val="14"/>
          <w:szCs w:val="14"/>
        </w:rPr>
      </w:pPr>
      <w:r>
        <w:rPr>
          <w:rStyle w:val="Fodnotehenvisning"/>
        </w:rPr>
        <w:footnoteRef/>
      </w:r>
      <w:r>
        <w:t xml:space="preserve"> </w:t>
      </w:r>
      <w:r>
        <w:rPr>
          <w:sz w:val="14"/>
          <w:szCs w:val="14"/>
        </w:rPr>
        <w:t xml:space="preserve">Fortroligheden for </w:t>
      </w:r>
      <w:r w:rsidR="000D0660">
        <w:rPr>
          <w:sz w:val="14"/>
          <w:szCs w:val="14"/>
        </w:rPr>
        <w:t>den databehandlingsaktivitet</w:t>
      </w:r>
      <w:r>
        <w:rPr>
          <w:sz w:val="14"/>
          <w:szCs w:val="14"/>
        </w:rPr>
        <w:t>, som din arbejdsgiver er dataansvarli</w:t>
      </w:r>
      <w:r w:rsidR="00C03C84">
        <w:rPr>
          <w:sz w:val="14"/>
          <w:szCs w:val="14"/>
        </w:rPr>
        <w:t>g for, skal sikres i medfør af D</w:t>
      </w:r>
      <w:r>
        <w:rPr>
          <w:sz w:val="14"/>
          <w:szCs w:val="14"/>
        </w:rPr>
        <w:t xml:space="preserve">atabeskyttelsesforordningens </w:t>
      </w:r>
      <w:r w:rsidR="00774DF7">
        <w:rPr>
          <w:sz w:val="14"/>
          <w:szCs w:val="14"/>
        </w:rPr>
        <w:t xml:space="preserve">artikel 5, stk. 1, litra f, herunder </w:t>
      </w:r>
      <w:r>
        <w:rPr>
          <w:sz w:val="14"/>
          <w:szCs w:val="14"/>
        </w:rPr>
        <w:t xml:space="preserve">artikel </w:t>
      </w:r>
      <w:r w:rsidR="00C03C84">
        <w:rPr>
          <w:sz w:val="14"/>
          <w:szCs w:val="14"/>
        </w:rPr>
        <w:t>32.</w:t>
      </w:r>
    </w:p>
  </w:footnote>
  <w:footnote w:id="2">
    <w:p w14:paraId="42381AB3" w14:textId="77777777" w:rsidR="00012A94" w:rsidRPr="00012A94" w:rsidRDefault="00012A94" w:rsidP="00012A94">
      <w:pPr>
        <w:rPr>
          <w:sz w:val="14"/>
          <w:szCs w:val="14"/>
        </w:rPr>
      </w:pPr>
      <w:r>
        <w:rPr>
          <w:rStyle w:val="Fodnotehenvisning"/>
        </w:rPr>
        <w:footnoteRef/>
      </w:r>
      <w:r>
        <w:t xml:space="preserve"> </w:t>
      </w:r>
      <w:r w:rsidRPr="00012A94">
        <w:rPr>
          <w:sz w:val="14"/>
          <w:szCs w:val="14"/>
        </w:rPr>
        <w:t>En aktiv handling kan være, at du</w:t>
      </w:r>
      <w:r>
        <w:rPr>
          <w:sz w:val="14"/>
          <w:szCs w:val="14"/>
        </w:rPr>
        <w:t xml:space="preserve"> bevidst</w:t>
      </w:r>
      <w:r w:rsidRPr="00012A94">
        <w:rPr>
          <w:sz w:val="14"/>
          <w:szCs w:val="14"/>
        </w:rPr>
        <w:t xml:space="preserve"> fortæller en </w:t>
      </w:r>
      <w:r>
        <w:rPr>
          <w:sz w:val="14"/>
          <w:szCs w:val="14"/>
        </w:rPr>
        <w:t>tredjemand om en eller flere af tavshedspligtbelagte personoplysninger</w:t>
      </w:r>
      <w:r w:rsidRPr="00012A94">
        <w:rPr>
          <w:sz w:val="14"/>
          <w:szCs w:val="14"/>
        </w:rPr>
        <w:t>.</w:t>
      </w:r>
    </w:p>
  </w:footnote>
  <w:footnote w:id="3">
    <w:p w14:paraId="7D651D70" w14:textId="77777777" w:rsidR="00012A94" w:rsidRPr="00012A94" w:rsidRDefault="00012A94" w:rsidP="00EA20D5">
      <w:pPr>
        <w:autoSpaceDE/>
        <w:spacing w:line="240" w:lineRule="auto"/>
        <w:rPr>
          <w:sz w:val="14"/>
          <w:szCs w:val="14"/>
        </w:rPr>
      </w:pPr>
      <w:r>
        <w:rPr>
          <w:rStyle w:val="Fodnotehenvisning"/>
        </w:rPr>
        <w:footnoteRef/>
      </w:r>
      <w:r>
        <w:t xml:space="preserve"> </w:t>
      </w:r>
      <w:r w:rsidRPr="00012A94">
        <w:rPr>
          <w:sz w:val="14"/>
          <w:szCs w:val="14"/>
        </w:rPr>
        <w:t xml:space="preserve">En passiv handling kan være, at du har taget </w:t>
      </w:r>
      <w:r w:rsidR="00EA20D5">
        <w:rPr>
          <w:sz w:val="14"/>
          <w:szCs w:val="14"/>
        </w:rPr>
        <w:t>tavshedspligtsbelagte</w:t>
      </w:r>
      <w:r w:rsidRPr="00012A94">
        <w:rPr>
          <w:sz w:val="14"/>
          <w:szCs w:val="14"/>
        </w:rPr>
        <w:t xml:space="preserve"> </w:t>
      </w:r>
      <w:r w:rsidR="00EA20D5">
        <w:rPr>
          <w:sz w:val="14"/>
          <w:szCs w:val="14"/>
        </w:rPr>
        <w:t>person</w:t>
      </w:r>
      <w:r w:rsidRPr="00012A94">
        <w:rPr>
          <w:sz w:val="14"/>
          <w:szCs w:val="14"/>
        </w:rPr>
        <w:t>oplysninger med hjem og op</w:t>
      </w:r>
      <w:r w:rsidR="00EA20D5">
        <w:rPr>
          <w:sz w:val="14"/>
          <w:szCs w:val="14"/>
        </w:rPr>
        <w:t xml:space="preserve">bevarer dem på uforsvarlig vis, </w:t>
      </w:r>
      <w:r w:rsidRPr="00012A94">
        <w:rPr>
          <w:sz w:val="14"/>
          <w:szCs w:val="14"/>
        </w:rPr>
        <w:t>såled</w:t>
      </w:r>
      <w:r w:rsidR="00EA20D5">
        <w:rPr>
          <w:sz w:val="14"/>
          <w:szCs w:val="14"/>
        </w:rPr>
        <w:t>es</w:t>
      </w:r>
      <w:r>
        <w:rPr>
          <w:sz w:val="14"/>
          <w:szCs w:val="14"/>
        </w:rPr>
        <w:t xml:space="preserve"> uvedkommende får kendskab </w:t>
      </w:r>
      <w:r w:rsidRPr="00012A94">
        <w:rPr>
          <w:sz w:val="14"/>
          <w:szCs w:val="14"/>
        </w:rPr>
        <w:t>til oplysningerne.</w:t>
      </w:r>
    </w:p>
    <w:p w14:paraId="2B275EC7" w14:textId="77777777" w:rsidR="00012A94" w:rsidRDefault="00012A94">
      <w:pPr>
        <w:pStyle w:val="Fodnotetekst"/>
      </w:pPr>
    </w:p>
  </w:footnote>
  <w:footnote w:id="4">
    <w:p w14:paraId="206BD355" w14:textId="77777777" w:rsidR="0052167E" w:rsidRPr="0052167E" w:rsidRDefault="0052167E">
      <w:pPr>
        <w:pStyle w:val="Fodnotetekst"/>
        <w:rPr>
          <w:sz w:val="14"/>
          <w:szCs w:val="14"/>
        </w:rPr>
      </w:pPr>
      <w:r>
        <w:rPr>
          <w:rStyle w:val="Fodnotehenvisning"/>
        </w:rPr>
        <w:footnoteRef/>
      </w:r>
      <w:r>
        <w:t xml:space="preserve"> </w:t>
      </w:r>
      <w:r>
        <w:rPr>
          <w:sz w:val="14"/>
          <w:szCs w:val="14"/>
        </w:rPr>
        <w:t>Sank</w:t>
      </w:r>
      <w:r w:rsidR="00122C2B">
        <w:rPr>
          <w:sz w:val="14"/>
          <w:szCs w:val="14"/>
        </w:rPr>
        <w:t>tionerne følger af henholdsvis D</w:t>
      </w:r>
      <w:r>
        <w:rPr>
          <w:sz w:val="14"/>
          <w:szCs w:val="14"/>
        </w:rPr>
        <w:t xml:space="preserve">atabeskyttelseslovens kapitel 12, § 39-43, </w:t>
      </w:r>
      <w:r w:rsidR="00122C2B">
        <w:rPr>
          <w:sz w:val="14"/>
          <w:szCs w:val="14"/>
        </w:rPr>
        <w:t>der hovedsageligt henviser til D</w:t>
      </w:r>
      <w:r>
        <w:rPr>
          <w:sz w:val="14"/>
          <w:szCs w:val="14"/>
        </w:rPr>
        <w:t>atabeskyttelsesforordningens artikel 82-83.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E7DC" w14:textId="77777777" w:rsidR="009E3A2F" w:rsidRDefault="009E3A2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C5A1" w14:textId="77777777" w:rsidR="00CD3541" w:rsidRDefault="00AF0A85" w:rsidP="00AF0A85">
    <w:pPr>
      <w:pStyle w:val="Logoside2"/>
      <w:framePr w:wrap="around"/>
    </w:pPr>
    <w:r>
      <w:rPr>
        <w:noProof/>
        <w:lang w:eastAsia="da-DK"/>
      </w:rPr>
      <w:drawing>
        <wp:inline distT="0" distB="0" distL="0" distR="0" wp14:anchorId="1B10807B" wp14:editId="631DB38A">
          <wp:extent cx="896038" cy="536404"/>
          <wp:effectExtent l="0" t="0" r="0" b="0"/>
          <wp:docPr id="2" name="Billede 2" descr="SkjulVed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r:link="rId2"/>
                  <a:stretch>
                    <a:fillRect/>
                  </a:stretch>
                </pic:blipFill>
                <pic:spPr>
                  <a:xfrm>
                    <a:off x="0" y="0"/>
                    <a:ext cx="896038" cy="536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2F4C" w14:textId="77777777" w:rsidR="009E3A2F" w:rsidRDefault="009E3A2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13CE6870"/>
    <w:multiLevelType w:val="hybridMultilevel"/>
    <w:tmpl w:val="D6CE17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681794A"/>
    <w:multiLevelType w:val="hybridMultilevel"/>
    <w:tmpl w:val="D77C3F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C1E5447"/>
    <w:multiLevelType w:val="hybridMultilevel"/>
    <w:tmpl w:val="E4C617B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549C2D75"/>
    <w:multiLevelType w:val="hybridMultilevel"/>
    <w:tmpl w:val="47E0E9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AE66FE6"/>
    <w:multiLevelType w:val="hybridMultilevel"/>
    <w:tmpl w:val="8C40D5E4"/>
    <w:lvl w:ilvl="0" w:tplc="17DCA1F4">
      <w:start w:val="1"/>
      <w:numFmt w:val="upp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50"/>
    <w:rsid w:val="00012A94"/>
    <w:rsid w:val="0002179F"/>
    <w:rsid w:val="00024CD2"/>
    <w:rsid w:val="00026C16"/>
    <w:rsid w:val="0003011E"/>
    <w:rsid w:val="00031539"/>
    <w:rsid w:val="00033537"/>
    <w:rsid w:val="000417E3"/>
    <w:rsid w:val="000433CE"/>
    <w:rsid w:val="00043437"/>
    <w:rsid w:val="000509AA"/>
    <w:rsid w:val="000665A5"/>
    <w:rsid w:val="00067A4A"/>
    <w:rsid w:val="000874FD"/>
    <w:rsid w:val="0009072D"/>
    <w:rsid w:val="000929AB"/>
    <w:rsid w:val="000975C5"/>
    <w:rsid w:val="000A0FAA"/>
    <w:rsid w:val="000B2F46"/>
    <w:rsid w:val="000B4B20"/>
    <w:rsid w:val="000C6370"/>
    <w:rsid w:val="000C750F"/>
    <w:rsid w:val="000D0660"/>
    <w:rsid w:val="000D4528"/>
    <w:rsid w:val="000F05D8"/>
    <w:rsid w:val="000F3805"/>
    <w:rsid w:val="00107863"/>
    <w:rsid w:val="00117B5F"/>
    <w:rsid w:val="00122C2B"/>
    <w:rsid w:val="00125FF8"/>
    <w:rsid w:val="00141EDA"/>
    <w:rsid w:val="00145605"/>
    <w:rsid w:val="001604AE"/>
    <w:rsid w:val="001612FE"/>
    <w:rsid w:val="00161951"/>
    <w:rsid w:val="0016575E"/>
    <w:rsid w:val="00170E14"/>
    <w:rsid w:val="00175B26"/>
    <w:rsid w:val="00185516"/>
    <w:rsid w:val="001B0EC8"/>
    <w:rsid w:val="001B15EE"/>
    <w:rsid w:val="001B2FD9"/>
    <w:rsid w:val="001B521F"/>
    <w:rsid w:val="001D2AED"/>
    <w:rsid w:val="001E0E60"/>
    <w:rsid w:val="001F0B11"/>
    <w:rsid w:val="001F0D26"/>
    <w:rsid w:val="001F22BD"/>
    <w:rsid w:val="001F2B6C"/>
    <w:rsid w:val="00202165"/>
    <w:rsid w:val="00206C15"/>
    <w:rsid w:val="00211464"/>
    <w:rsid w:val="002115D5"/>
    <w:rsid w:val="00217CCA"/>
    <w:rsid w:val="002220A8"/>
    <w:rsid w:val="00224892"/>
    <w:rsid w:val="002251CA"/>
    <w:rsid w:val="00237E38"/>
    <w:rsid w:val="002403DB"/>
    <w:rsid w:val="0024386D"/>
    <w:rsid w:val="00244C79"/>
    <w:rsid w:val="00252D65"/>
    <w:rsid w:val="00267B02"/>
    <w:rsid w:val="002940D8"/>
    <w:rsid w:val="002A41C0"/>
    <w:rsid w:val="002C11A7"/>
    <w:rsid w:val="002C5D8C"/>
    <w:rsid w:val="002C7B3A"/>
    <w:rsid w:val="002D3628"/>
    <w:rsid w:val="002D5818"/>
    <w:rsid w:val="002D7C71"/>
    <w:rsid w:val="002F2786"/>
    <w:rsid w:val="002F2FFA"/>
    <w:rsid w:val="002F37CC"/>
    <w:rsid w:val="00307681"/>
    <w:rsid w:val="00313DFE"/>
    <w:rsid w:val="0031779F"/>
    <w:rsid w:val="00317FD5"/>
    <w:rsid w:val="00323A32"/>
    <w:rsid w:val="003249B8"/>
    <w:rsid w:val="00333B7E"/>
    <w:rsid w:val="00374603"/>
    <w:rsid w:val="00375934"/>
    <w:rsid w:val="003A09A4"/>
    <w:rsid w:val="003A5F4F"/>
    <w:rsid w:val="003A706B"/>
    <w:rsid w:val="003B0090"/>
    <w:rsid w:val="003C5626"/>
    <w:rsid w:val="003F4D5B"/>
    <w:rsid w:val="003F744D"/>
    <w:rsid w:val="00410223"/>
    <w:rsid w:val="00422B66"/>
    <w:rsid w:val="00430FF4"/>
    <w:rsid w:val="00434DD3"/>
    <w:rsid w:val="004414DF"/>
    <w:rsid w:val="00443683"/>
    <w:rsid w:val="00443F4B"/>
    <w:rsid w:val="00444415"/>
    <w:rsid w:val="00464E5D"/>
    <w:rsid w:val="00464EE9"/>
    <w:rsid w:val="0046767A"/>
    <w:rsid w:val="004724E9"/>
    <w:rsid w:val="004919CB"/>
    <w:rsid w:val="004A1BA9"/>
    <w:rsid w:val="004C3AEB"/>
    <w:rsid w:val="004C648D"/>
    <w:rsid w:val="004C6D72"/>
    <w:rsid w:val="004F2DF8"/>
    <w:rsid w:val="004F31AB"/>
    <w:rsid w:val="004F3760"/>
    <w:rsid w:val="00504A9D"/>
    <w:rsid w:val="00515F8E"/>
    <w:rsid w:val="0051738B"/>
    <w:rsid w:val="0052167E"/>
    <w:rsid w:val="0053574E"/>
    <w:rsid w:val="0054037A"/>
    <w:rsid w:val="00541EDC"/>
    <w:rsid w:val="0054770B"/>
    <w:rsid w:val="00556005"/>
    <w:rsid w:val="00560B20"/>
    <w:rsid w:val="0056389F"/>
    <w:rsid w:val="005729FB"/>
    <w:rsid w:val="005A1CBA"/>
    <w:rsid w:val="005B504E"/>
    <w:rsid w:val="005C0173"/>
    <w:rsid w:val="005C4D38"/>
    <w:rsid w:val="005C52BB"/>
    <w:rsid w:val="005C5502"/>
    <w:rsid w:val="005C6294"/>
    <w:rsid w:val="005E5B61"/>
    <w:rsid w:val="006005AD"/>
    <w:rsid w:val="00601556"/>
    <w:rsid w:val="006051D5"/>
    <w:rsid w:val="00616C6A"/>
    <w:rsid w:val="00617474"/>
    <w:rsid w:val="006200C1"/>
    <w:rsid w:val="00627536"/>
    <w:rsid w:val="0063024F"/>
    <w:rsid w:val="00643005"/>
    <w:rsid w:val="00643A5C"/>
    <w:rsid w:val="00644DBD"/>
    <w:rsid w:val="00646DE7"/>
    <w:rsid w:val="006506E5"/>
    <w:rsid w:val="00675A6B"/>
    <w:rsid w:val="006A1A3C"/>
    <w:rsid w:val="006B19AB"/>
    <w:rsid w:val="006B2E55"/>
    <w:rsid w:val="006D3DB5"/>
    <w:rsid w:val="006F2903"/>
    <w:rsid w:val="006F37ED"/>
    <w:rsid w:val="006F6FD8"/>
    <w:rsid w:val="007141C4"/>
    <w:rsid w:val="00725DD8"/>
    <w:rsid w:val="0072732F"/>
    <w:rsid w:val="00730FDB"/>
    <w:rsid w:val="0074041B"/>
    <w:rsid w:val="007447C6"/>
    <w:rsid w:val="0074674B"/>
    <w:rsid w:val="007477C3"/>
    <w:rsid w:val="00751BBF"/>
    <w:rsid w:val="00753ADF"/>
    <w:rsid w:val="00754313"/>
    <w:rsid w:val="007614A8"/>
    <w:rsid w:val="00763CF6"/>
    <w:rsid w:val="007656C0"/>
    <w:rsid w:val="00774DF7"/>
    <w:rsid w:val="00775D13"/>
    <w:rsid w:val="00784735"/>
    <w:rsid w:val="007A2512"/>
    <w:rsid w:val="007A6F3A"/>
    <w:rsid w:val="007B260E"/>
    <w:rsid w:val="007F1E86"/>
    <w:rsid w:val="007F36E3"/>
    <w:rsid w:val="007F674A"/>
    <w:rsid w:val="007F7CEA"/>
    <w:rsid w:val="008072BA"/>
    <w:rsid w:val="008123C9"/>
    <w:rsid w:val="00831C99"/>
    <w:rsid w:val="008553A1"/>
    <w:rsid w:val="008556E7"/>
    <w:rsid w:val="008613E8"/>
    <w:rsid w:val="0087415B"/>
    <w:rsid w:val="008826AB"/>
    <w:rsid w:val="008879B4"/>
    <w:rsid w:val="008A0D2B"/>
    <w:rsid w:val="008C6053"/>
    <w:rsid w:val="008D3484"/>
    <w:rsid w:val="008F2D6C"/>
    <w:rsid w:val="008F41C6"/>
    <w:rsid w:val="0090290C"/>
    <w:rsid w:val="00913847"/>
    <w:rsid w:val="00914231"/>
    <w:rsid w:val="009312B0"/>
    <w:rsid w:val="0093216F"/>
    <w:rsid w:val="00952821"/>
    <w:rsid w:val="0097152F"/>
    <w:rsid w:val="00975AAF"/>
    <w:rsid w:val="0098022D"/>
    <w:rsid w:val="009966BF"/>
    <w:rsid w:val="009A0790"/>
    <w:rsid w:val="009B3B5E"/>
    <w:rsid w:val="009B50C2"/>
    <w:rsid w:val="009C06C9"/>
    <w:rsid w:val="009C4167"/>
    <w:rsid w:val="009D4066"/>
    <w:rsid w:val="009D4191"/>
    <w:rsid w:val="009D7A02"/>
    <w:rsid w:val="009E3A2F"/>
    <w:rsid w:val="009F3664"/>
    <w:rsid w:val="009F69AE"/>
    <w:rsid w:val="00A063BD"/>
    <w:rsid w:val="00A06E29"/>
    <w:rsid w:val="00A129EB"/>
    <w:rsid w:val="00A2128A"/>
    <w:rsid w:val="00A2163E"/>
    <w:rsid w:val="00A32323"/>
    <w:rsid w:val="00A35D1B"/>
    <w:rsid w:val="00A41F30"/>
    <w:rsid w:val="00A61444"/>
    <w:rsid w:val="00A66628"/>
    <w:rsid w:val="00A70550"/>
    <w:rsid w:val="00A86BDA"/>
    <w:rsid w:val="00A9694A"/>
    <w:rsid w:val="00A96CBD"/>
    <w:rsid w:val="00AA7DC7"/>
    <w:rsid w:val="00AB074F"/>
    <w:rsid w:val="00AB7E81"/>
    <w:rsid w:val="00AC782B"/>
    <w:rsid w:val="00AC7F7B"/>
    <w:rsid w:val="00AD5ACB"/>
    <w:rsid w:val="00AE203E"/>
    <w:rsid w:val="00AF0A85"/>
    <w:rsid w:val="00B06350"/>
    <w:rsid w:val="00B17994"/>
    <w:rsid w:val="00B253E3"/>
    <w:rsid w:val="00B26BEB"/>
    <w:rsid w:val="00B37781"/>
    <w:rsid w:val="00B3778B"/>
    <w:rsid w:val="00B74591"/>
    <w:rsid w:val="00B75830"/>
    <w:rsid w:val="00B77189"/>
    <w:rsid w:val="00B80EB5"/>
    <w:rsid w:val="00B90495"/>
    <w:rsid w:val="00B91631"/>
    <w:rsid w:val="00B94FA3"/>
    <w:rsid w:val="00BB0F65"/>
    <w:rsid w:val="00BB55E2"/>
    <w:rsid w:val="00BB71F4"/>
    <w:rsid w:val="00BC2CB7"/>
    <w:rsid w:val="00BD6129"/>
    <w:rsid w:val="00BE7DF9"/>
    <w:rsid w:val="00C03C84"/>
    <w:rsid w:val="00C065F8"/>
    <w:rsid w:val="00C07425"/>
    <w:rsid w:val="00C07D8E"/>
    <w:rsid w:val="00C30BCE"/>
    <w:rsid w:val="00C35DCA"/>
    <w:rsid w:val="00C656A6"/>
    <w:rsid w:val="00C67DF0"/>
    <w:rsid w:val="00C75234"/>
    <w:rsid w:val="00C76F87"/>
    <w:rsid w:val="00C923DA"/>
    <w:rsid w:val="00CC2A42"/>
    <w:rsid w:val="00CD3541"/>
    <w:rsid w:val="00CF06CB"/>
    <w:rsid w:val="00D03798"/>
    <w:rsid w:val="00D03A11"/>
    <w:rsid w:val="00D142A7"/>
    <w:rsid w:val="00D453A5"/>
    <w:rsid w:val="00D45A3D"/>
    <w:rsid w:val="00D47EEE"/>
    <w:rsid w:val="00D562C8"/>
    <w:rsid w:val="00D56D31"/>
    <w:rsid w:val="00D61D40"/>
    <w:rsid w:val="00D709A4"/>
    <w:rsid w:val="00D93F9A"/>
    <w:rsid w:val="00D948A5"/>
    <w:rsid w:val="00D94B5D"/>
    <w:rsid w:val="00DB1BE9"/>
    <w:rsid w:val="00DB57FE"/>
    <w:rsid w:val="00DD7273"/>
    <w:rsid w:val="00DD7478"/>
    <w:rsid w:val="00DE01BB"/>
    <w:rsid w:val="00E22301"/>
    <w:rsid w:val="00E24C24"/>
    <w:rsid w:val="00E32FE3"/>
    <w:rsid w:val="00E33719"/>
    <w:rsid w:val="00E400B9"/>
    <w:rsid w:val="00E54AAB"/>
    <w:rsid w:val="00E54B2F"/>
    <w:rsid w:val="00E56C40"/>
    <w:rsid w:val="00E85777"/>
    <w:rsid w:val="00E864E5"/>
    <w:rsid w:val="00EA20D5"/>
    <w:rsid w:val="00EB2669"/>
    <w:rsid w:val="00EB2E0C"/>
    <w:rsid w:val="00EB6E1B"/>
    <w:rsid w:val="00EC30F0"/>
    <w:rsid w:val="00EC68EB"/>
    <w:rsid w:val="00ED1159"/>
    <w:rsid w:val="00EF4759"/>
    <w:rsid w:val="00F03F22"/>
    <w:rsid w:val="00F459A0"/>
    <w:rsid w:val="00F75DBE"/>
    <w:rsid w:val="00F8231B"/>
    <w:rsid w:val="00F830D9"/>
    <w:rsid w:val="00F93ABA"/>
    <w:rsid w:val="00F9791F"/>
    <w:rsid w:val="00F97F77"/>
    <w:rsid w:val="00FA167B"/>
    <w:rsid w:val="00FA4C1E"/>
    <w:rsid w:val="00FA6879"/>
    <w:rsid w:val="00FA7722"/>
    <w:rsid w:val="00FB0AEE"/>
    <w:rsid w:val="00FC5798"/>
    <w:rsid w:val="00FD3EF8"/>
    <w:rsid w:val="00FE6E37"/>
    <w:rsid w:val="00FE7344"/>
    <w:rsid w:val="00FF2015"/>
    <w:rsid w:val="00FF2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DE982"/>
  <w15:docId w15:val="{1A6A966E-FB2D-48EF-A5A1-E7143546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DCA"/>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A32323"/>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qFormat/>
    <w:rsid w:val="00A32323"/>
    <w:pPr>
      <w:keepNext/>
      <w:numPr>
        <w:ilvl w:val="1"/>
        <w:numId w:val="1"/>
      </w:numPr>
      <w:spacing w:after="60"/>
      <w:outlineLvl w:val="1"/>
    </w:pPr>
    <w:rPr>
      <w:rFonts w:cs="Arial"/>
      <w:b/>
      <w:bCs/>
      <w:i/>
      <w:iCs/>
    </w:rPr>
  </w:style>
  <w:style w:type="paragraph" w:styleId="Overskrift3">
    <w:name w:val="heading 3"/>
    <w:basedOn w:val="Normal"/>
    <w:next w:val="Normal"/>
    <w:qFormat/>
    <w:rsid w:val="00A32323"/>
    <w:pPr>
      <w:keepNext/>
      <w:spacing w:after="60"/>
      <w:outlineLvl w:val="2"/>
    </w:pPr>
    <w:rPr>
      <w:rFonts w:cs="Arial"/>
    </w:rPr>
  </w:style>
  <w:style w:type="paragraph" w:styleId="Overskrift4">
    <w:name w:val="heading 4"/>
    <w:basedOn w:val="Normal"/>
    <w:next w:val="Normal"/>
    <w:qFormat/>
    <w:rsid w:val="00A32323"/>
    <w:pPr>
      <w:keepNext/>
      <w:spacing w:after="60"/>
      <w:outlineLvl w:val="3"/>
    </w:pPr>
    <w:rPr>
      <w:rFonts w:cs="Arial"/>
      <w:b/>
      <w:bCs/>
    </w:rPr>
  </w:style>
  <w:style w:type="paragraph" w:styleId="Overskrift5">
    <w:name w:val="heading 5"/>
    <w:basedOn w:val="Normal"/>
    <w:next w:val="Normal"/>
    <w:qFormat/>
    <w:rsid w:val="00A32323"/>
    <w:pPr>
      <w:numPr>
        <w:ilvl w:val="4"/>
        <w:numId w:val="1"/>
      </w:numPr>
      <w:spacing w:after="60"/>
      <w:outlineLvl w:val="4"/>
    </w:pPr>
    <w:rPr>
      <w:rFonts w:cs="Arial"/>
      <w:sz w:val="22"/>
      <w:szCs w:val="22"/>
    </w:rPr>
  </w:style>
  <w:style w:type="paragraph" w:styleId="Overskrift6">
    <w:name w:val="heading 6"/>
    <w:basedOn w:val="Normal"/>
    <w:next w:val="Normal"/>
    <w:qFormat/>
    <w:rsid w:val="00A32323"/>
    <w:pPr>
      <w:numPr>
        <w:ilvl w:val="5"/>
        <w:numId w:val="1"/>
      </w:numPr>
      <w:spacing w:after="60"/>
      <w:outlineLvl w:val="5"/>
    </w:pPr>
    <w:rPr>
      <w:i/>
      <w:iCs/>
      <w:sz w:val="22"/>
      <w:szCs w:val="22"/>
    </w:rPr>
  </w:style>
  <w:style w:type="paragraph" w:styleId="Overskrift7">
    <w:name w:val="heading 7"/>
    <w:basedOn w:val="Normal"/>
    <w:next w:val="Normal"/>
    <w:qFormat/>
    <w:rsid w:val="00A32323"/>
    <w:pPr>
      <w:numPr>
        <w:ilvl w:val="6"/>
        <w:numId w:val="1"/>
      </w:numPr>
      <w:spacing w:after="60"/>
      <w:outlineLvl w:val="6"/>
    </w:pPr>
    <w:rPr>
      <w:rFonts w:cs="Arial"/>
    </w:rPr>
  </w:style>
  <w:style w:type="paragraph" w:styleId="Overskrift8">
    <w:name w:val="heading 8"/>
    <w:basedOn w:val="Normal"/>
    <w:next w:val="Normal"/>
    <w:qFormat/>
    <w:rsid w:val="00A32323"/>
    <w:pPr>
      <w:numPr>
        <w:ilvl w:val="7"/>
        <w:numId w:val="1"/>
      </w:numPr>
      <w:spacing w:after="60"/>
      <w:outlineLvl w:val="7"/>
    </w:pPr>
    <w:rPr>
      <w:rFonts w:cs="Arial"/>
      <w:i/>
      <w:iCs/>
    </w:rPr>
  </w:style>
  <w:style w:type="paragraph" w:styleId="Overskrift9">
    <w:name w:val="heading 9"/>
    <w:basedOn w:val="Normal"/>
    <w:next w:val="Normal"/>
    <w:qFormat/>
    <w:rsid w:val="00A32323"/>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560B20"/>
    <w:pPr>
      <w:framePr w:w="4536" w:hSpace="142" w:vSpace="142" w:wrap="around" w:vAnchor="page" w:hAnchor="margin" w:y="3006"/>
      <w:jc w:val="left"/>
    </w:pPr>
  </w:style>
  <w:style w:type="paragraph" w:customStyle="1" w:styleId="Medvenlighilsen">
    <w:name w:val="Med venlig hilsen"/>
    <w:basedOn w:val="Normal"/>
    <w:rsid w:val="00560B20"/>
    <w:pPr>
      <w:jc w:val="left"/>
    </w:pPr>
  </w:style>
  <w:style w:type="paragraph" w:customStyle="1" w:styleId="Brevoplysninger">
    <w:name w:val="Brevoplysninger"/>
    <w:basedOn w:val="Normal"/>
    <w:rsid w:val="00560B20"/>
    <w:pPr>
      <w:framePr w:w="8505" w:hSpace="181" w:vSpace="181" w:wrap="around" w:vAnchor="page" w:hAnchor="margin" w:y="5444"/>
      <w:tabs>
        <w:tab w:val="left" w:pos="709"/>
        <w:tab w:val="right" w:pos="8505"/>
      </w:tabs>
      <w:spacing w:line="240" w:lineRule="auto"/>
    </w:pPr>
    <w:rPr>
      <w:sz w:val="18"/>
    </w:rPr>
  </w:style>
  <w:style w:type="paragraph" w:customStyle="1" w:styleId="Vedrrende">
    <w:name w:val="Vedrørende"/>
    <w:basedOn w:val="Normal"/>
    <w:rsid w:val="00AF0A85"/>
    <w:pPr>
      <w:framePr w:w="7540" w:hSpace="142" w:vSpace="142" w:wrap="around" w:vAnchor="page" w:hAnchor="margin" w:y="6350"/>
    </w:pPr>
    <w:rPr>
      <w:b/>
      <w:bCs/>
      <w:sz w:val="18"/>
    </w:rPr>
  </w:style>
  <w:style w:type="paragraph" w:styleId="Sidefod">
    <w:name w:val="footer"/>
    <w:basedOn w:val="Normal"/>
    <w:link w:val="SidefodTegn"/>
    <w:uiPriority w:val="99"/>
    <w:rsid w:val="00A32323"/>
    <w:pPr>
      <w:tabs>
        <w:tab w:val="center" w:pos="4819"/>
        <w:tab w:val="right" w:pos="9638"/>
      </w:tabs>
    </w:pPr>
  </w:style>
  <w:style w:type="character" w:styleId="Sidetal">
    <w:name w:val="page number"/>
    <w:basedOn w:val="Standardskrifttypeiafsnit"/>
    <w:rsid w:val="00A32323"/>
  </w:style>
  <w:style w:type="paragraph" w:customStyle="1" w:styleId="Bundlogo">
    <w:name w:val="Bundlogo"/>
    <w:basedOn w:val="Normal"/>
    <w:rsid w:val="00A32323"/>
    <w:pPr>
      <w:framePr w:w="284" w:wrap="around" w:vAnchor="page" w:hAnchor="margin" w:y="15423"/>
      <w:autoSpaceDE/>
      <w:autoSpaceDN/>
    </w:pPr>
    <w:rPr>
      <w:color w:val="4F4F4F"/>
      <w:sz w:val="32"/>
      <w:szCs w:val="20"/>
      <w:lang w:eastAsia="da-DK"/>
    </w:rPr>
  </w:style>
  <w:style w:type="paragraph" w:customStyle="1" w:styleId="Billedlogo">
    <w:name w:val="Billedlogo"/>
    <w:basedOn w:val="Normal"/>
    <w:rsid w:val="00A32323"/>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attypografi">
    <w:name w:val="at typografi"/>
    <w:basedOn w:val="Normal"/>
    <w:rsid w:val="008123C9"/>
    <w:pPr>
      <w:ind w:left="567" w:hanging="567"/>
    </w:pPr>
  </w:style>
  <w:style w:type="paragraph" w:styleId="Sidehoved">
    <w:name w:val="header"/>
    <w:basedOn w:val="Normal"/>
    <w:link w:val="SidehovedTegn"/>
    <w:rsid w:val="00A32323"/>
    <w:pPr>
      <w:tabs>
        <w:tab w:val="center" w:pos="4819"/>
        <w:tab w:val="right" w:pos="9638"/>
      </w:tabs>
    </w:pPr>
  </w:style>
  <w:style w:type="paragraph" w:customStyle="1" w:styleId="Bundtekst">
    <w:name w:val="Bundtekst"/>
    <w:basedOn w:val="Vedrrende"/>
    <w:rsid w:val="00A32323"/>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A32323"/>
    <w:pPr>
      <w:framePr w:wrap="around" w:y="1645"/>
    </w:pPr>
    <w:rPr>
      <w:b/>
    </w:rPr>
  </w:style>
  <w:style w:type="table" w:styleId="Tabel-Gitter">
    <w:name w:val="Table Grid"/>
    <w:basedOn w:val="Tabel-Normal"/>
    <w:rsid w:val="00A32323"/>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Markeringsbobletekst">
    <w:name w:val="Balloon Text"/>
    <w:basedOn w:val="Normal"/>
    <w:link w:val="MarkeringsbobletekstTegn"/>
    <w:rsid w:val="00560B20"/>
    <w:pPr>
      <w:spacing w:line="240" w:lineRule="auto"/>
    </w:pPr>
    <w:rPr>
      <w:sz w:val="16"/>
      <w:szCs w:val="16"/>
    </w:rPr>
  </w:style>
  <w:style w:type="character" w:customStyle="1" w:styleId="MarkeringsbobletekstTegn">
    <w:name w:val="Markeringsbobletekst Tegn"/>
    <w:basedOn w:val="Standardskrifttypeiafsnit"/>
    <w:link w:val="Markeringsbobletekst"/>
    <w:rsid w:val="00560B20"/>
    <w:rPr>
      <w:rFonts w:ascii="Tahoma" w:hAnsi="Tahoma" w:cs="Tahoma"/>
      <w:sz w:val="16"/>
      <w:szCs w:val="16"/>
      <w:lang w:eastAsia="en-US"/>
    </w:rPr>
  </w:style>
  <w:style w:type="paragraph" w:customStyle="1" w:styleId="Sekretroplysninger">
    <w:name w:val="Sekretæroplysninger"/>
    <w:basedOn w:val="Normal"/>
    <w:qFormat/>
    <w:rsid w:val="00560B20"/>
    <w:pPr>
      <w:framePr w:w="3402" w:wrap="around" w:vAnchor="page" w:hAnchor="margin" w:xAlign="right" w:y="3857"/>
      <w:jc w:val="right"/>
    </w:pPr>
    <w:rPr>
      <w:sz w:val="18"/>
    </w:rPr>
  </w:style>
  <w:style w:type="character" w:customStyle="1" w:styleId="SidehovedTegn">
    <w:name w:val="Sidehoved Tegn"/>
    <w:basedOn w:val="Standardskrifttypeiafsnit"/>
    <w:link w:val="Sidehoved"/>
    <w:rsid w:val="00560B20"/>
    <w:rPr>
      <w:rFonts w:ascii="Verdana" w:hAnsi="Verdana"/>
      <w:szCs w:val="24"/>
      <w:lang w:eastAsia="en-US"/>
    </w:rPr>
  </w:style>
  <w:style w:type="paragraph" w:customStyle="1" w:styleId="Logobillede">
    <w:name w:val="Logobillede"/>
    <w:basedOn w:val="Billedlogo"/>
    <w:qFormat/>
    <w:rsid w:val="00BB55E2"/>
    <w:pPr>
      <w:framePr w:w="2835" w:wrap="around" w:x="8619" w:y="908"/>
    </w:pPr>
    <w:rPr>
      <w:noProof/>
    </w:rPr>
  </w:style>
  <w:style w:type="paragraph" w:customStyle="1" w:styleId="LogoBund">
    <w:name w:val="LogoBund"/>
    <w:basedOn w:val="Normal"/>
    <w:qFormat/>
    <w:rsid w:val="00BB55E2"/>
    <w:pPr>
      <w:framePr w:w="1418" w:h="2268" w:hRule="exact" w:wrap="around" w:vAnchor="page" w:hAnchor="page" w:x="9924" w:y="14346"/>
    </w:pPr>
  </w:style>
  <w:style w:type="paragraph" w:customStyle="1" w:styleId="Bynavne">
    <w:name w:val="Bynavne"/>
    <w:basedOn w:val="Normal"/>
    <w:qFormat/>
    <w:rsid w:val="00B26BEB"/>
    <w:pPr>
      <w:framePr w:w="1531" w:wrap="around" w:vAnchor="page" w:hAnchor="page" w:x="511" w:y="511"/>
    </w:pPr>
  </w:style>
  <w:style w:type="paragraph" w:customStyle="1" w:styleId="sprring">
    <w:name w:val="spærring"/>
    <w:basedOn w:val="Normal"/>
    <w:link w:val="sprringTegn"/>
    <w:rsid w:val="00AF0A85"/>
    <w:pPr>
      <w:framePr w:w="2835" w:h="11339" w:hRule="exact" w:wrap="around" w:vAnchor="page" w:hAnchor="page" w:x="8675" w:y="5670"/>
      <w:autoSpaceDE/>
      <w:autoSpaceDN/>
      <w:spacing w:line="240" w:lineRule="auto"/>
      <w:jc w:val="left"/>
    </w:pPr>
  </w:style>
  <w:style w:type="character" w:customStyle="1" w:styleId="sprringTegn">
    <w:name w:val="spærring Tegn"/>
    <w:basedOn w:val="Standardskrifttypeiafsnit"/>
    <w:link w:val="sprring"/>
    <w:rsid w:val="00AF0A85"/>
    <w:rPr>
      <w:rFonts w:ascii="Tahoma" w:hAnsi="Tahoma" w:cs="Tahoma"/>
      <w:szCs w:val="24"/>
      <w:lang w:eastAsia="en-US"/>
    </w:rPr>
  </w:style>
  <w:style w:type="paragraph" w:customStyle="1" w:styleId="Logoside2">
    <w:name w:val="Logoside2"/>
    <w:basedOn w:val="Normal"/>
    <w:link w:val="Logoside2Tegn"/>
    <w:rsid w:val="00AF0A85"/>
    <w:pPr>
      <w:framePr w:w="2268" w:wrap="around" w:vAnchor="page" w:hAnchor="page" w:x="9241" w:y="397"/>
      <w:autoSpaceDE/>
      <w:autoSpaceDN/>
      <w:spacing w:line="240" w:lineRule="auto"/>
      <w:jc w:val="left"/>
    </w:pPr>
  </w:style>
  <w:style w:type="character" w:customStyle="1" w:styleId="Logoside2Tegn">
    <w:name w:val="Logoside2 Tegn"/>
    <w:basedOn w:val="Standardskrifttypeiafsnit"/>
    <w:link w:val="Logoside2"/>
    <w:rsid w:val="00AF0A85"/>
    <w:rPr>
      <w:rFonts w:ascii="Tahoma" w:hAnsi="Tahoma" w:cs="Tahoma"/>
      <w:szCs w:val="24"/>
      <w:lang w:eastAsia="en-US"/>
    </w:rPr>
  </w:style>
  <w:style w:type="paragraph" w:customStyle="1" w:styleId="Modtagernytt">
    <w:name w:val="Modtagernytt"/>
    <w:basedOn w:val="Normal"/>
    <w:rsid w:val="00AF0A85"/>
    <w:pPr>
      <w:framePr w:w="4536" w:wrap="around" w:vAnchor="page" w:hAnchor="page" w:x="1135" w:y="2212"/>
      <w:jc w:val="left"/>
    </w:pPr>
    <w:rPr>
      <w:rFonts w:cs="Times New Roman"/>
    </w:rPr>
  </w:style>
  <w:style w:type="paragraph" w:customStyle="1" w:styleId="Brevoplysningernyttt">
    <w:name w:val="Brevoplysningernyttt"/>
    <w:basedOn w:val="Normal"/>
    <w:rsid w:val="00AF0A85"/>
    <w:pPr>
      <w:framePr w:w="3969" w:hSpace="181" w:vSpace="181" w:wrap="around" w:vAnchor="page" w:hAnchor="page" w:x="1135" w:y="5614"/>
      <w:tabs>
        <w:tab w:val="left" w:pos="709"/>
        <w:tab w:val="right" w:pos="8505"/>
      </w:tabs>
      <w:spacing w:line="240" w:lineRule="auto"/>
    </w:pPr>
    <w:rPr>
      <w:rFonts w:cs="Times New Roman"/>
      <w:sz w:val="16"/>
    </w:rPr>
  </w:style>
  <w:style w:type="paragraph" w:customStyle="1" w:styleId="Sekretroplysningernyt">
    <w:name w:val="Sekretæroplysningernyt"/>
    <w:basedOn w:val="Normal"/>
    <w:qFormat/>
    <w:rsid w:val="00AF0A85"/>
    <w:pPr>
      <w:framePr w:w="2268" w:wrap="around" w:vAnchor="page" w:hAnchor="page" w:x="8960" w:y="3857"/>
      <w:jc w:val="left"/>
    </w:pPr>
    <w:rPr>
      <w:rFonts w:cs="Times New Roman"/>
      <w:sz w:val="18"/>
    </w:rPr>
  </w:style>
  <w:style w:type="paragraph" w:customStyle="1" w:styleId="Logobilledenyttt">
    <w:name w:val="Logobilledenyttt"/>
    <w:basedOn w:val="Billedlogo"/>
    <w:qFormat/>
    <w:rsid w:val="00AF0A85"/>
    <w:pPr>
      <w:framePr w:w="1758" w:wrap="around" w:x="8960" w:y="568"/>
    </w:pPr>
    <w:rPr>
      <w:rFonts w:cs="Times New Roman"/>
      <w:noProof/>
    </w:rPr>
  </w:style>
  <w:style w:type="paragraph" w:customStyle="1" w:styleId="LogoBundny">
    <w:name w:val="LogoBundny"/>
    <w:basedOn w:val="Normal"/>
    <w:qFormat/>
    <w:rsid w:val="00AF0A85"/>
    <w:pPr>
      <w:framePr w:w="1928" w:wrap="around" w:vAnchor="page" w:hAnchor="page" w:x="8960" w:y="13439"/>
    </w:pPr>
    <w:rPr>
      <w:rFonts w:cs="Times New Roman"/>
    </w:rPr>
  </w:style>
  <w:style w:type="character" w:customStyle="1" w:styleId="SidefodTegn">
    <w:name w:val="Sidefod Tegn"/>
    <w:basedOn w:val="Standardskrifttypeiafsnit"/>
    <w:link w:val="Sidefod"/>
    <w:uiPriority w:val="99"/>
    <w:rsid w:val="00730FDB"/>
    <w:rPr>
      <w:rFonts w:ascii="Tahoma" w:hAnsi="Tahoma" w:cs="Tahoma"/>
      <w:szCs w:val="24"/>
      <w:lang w:eastAsia="en-US"/>
    </w:rPr>
  </w:style>
  <w:style w:type="paragraph" w:customStyle="1" w:styleId="Sprring0">
    <w:name w:val="Spærring"/>
    <w:basedOn w:val="Normal"/>
    <w:link w:val="SprringTegn0"/>
    <w:rsid w:val="000975C5"/>
    <w:pPr>
      <w:framePr w:w="2835" w:h="11339" w:hRule="exact" w:wrap="around" w:vAnchor="page" w:hAnchor="page" w:x="8675" w:y="5670"/>
    </w:pPr>
    <w:rPr>
      <w:lang w:val="de-DE"/>
    </w:rPr>
  </w:style>
  <w:style w:type="character" w:customStyle="1" w:styleId="SprringTegn0">
    <w:name w:val="Spærring Tegn"/>
    <w:basedOn w:val="Standardskrifttypeiafsnit"/>
    <w:link w:val="Sprring0"/>
    <w:rsid w:val="000975C5"/>
    <w:rPr>
      <w:rFonts w:ascii="Tahoma" w:hAnsi="Tahoma" w:cs="Tahoma"/>
      <w:szCs w:val="24"/>
      <w:lang w:val="de-DE" w:eastAsia="en-US"/>
    </w:rPr>
  </w:style>
  <w:style w:type="character" w:styleId="Hyperlink">
    <w:name w:val="Hyperlink"/>
    <w:basedOn w:val="Standardskrifttypeiafsnit"/>
    <w:uiPriority w:val="99"/>
    <w:unhideWhenUsed/>
    <w:rsid w:val="00C35DCA"/>
    <w:rPr>
      <w:color w:val="0000FF"/>
      <w:u w:val="single"/>
    </w:rPr>
  </w:style>
  <w:style w:type="paragraph" w:styleId="Listeafsnit">
    <w:name w:val="List Paragraph"/>
    <w:basedOn w:val="Normal"/>
    <w:uiPriority w:val="34"/>
    <w:qFormat/>
    <w:rsid w:val="00C35DCA"/>
    <w:pPr>
      <w:ind w:left="720"/>
      <w:contextualSpacing/>
    </w:pPr>
  </w:style>
  <w:style w:type="paragraph" w:styleId="Fodnotetekst">
    <w:name w:val="footnote text"/>
    <w:basedOn w:val="Normal"/>
    <w:link w:val="FodnotetekstTegn"/>
    <w:semiHidden/>
    <w:unhideWhenUsed/>
    <w:rsid w:val="00EB2E0C"/>
    <w:pPr>
      <w:spacing w:line="240" w:lineRule="auto"/>
    </w:pPr>
    <w:rPr>
      <w:szCs w:val="20"/>
    </w:rPr>
  </w:style>
  <w:style w:type="character" w:customStyle="1" w:styleId="FodnotetekstTegn">
    <w:name w:val="Fodnotetekst Tegn"/>
    <w:basedOn w:val="Standardskrifttypeiafsnit"/>
    <w:link w:val="Fodnotetekst"/>
    <w:semiHidden/>
    <w:rsid w:val="00EB2E0C"/>
    <w:rPr>
      <w:rFonts w:ascii="Tahoma" w:hAnsi="Tahoma" w:cs="Tahoma"/>
      <w:lang w:eastAsia="en-US"/>
    </w:rPr>
  </w:style>
  <w:style w:type="character" w:styleId="Fodnotehenvisning">
    <w:name w:val="footnote reference"/>
    <w:basedOn w:val="Standardskrifttypeiafsnit"/>
    <w:semiHidden/>
    <w:unhideWhenUsed/>
    <w:rsid w:val="00EB2E0C"/>
    <w:rPr>
      <w:vertAlign w:val="superscript"/>
    </w:rPr>
  </w:style>
  <w:style w:type="paragraph" w:customStyle="1" w:styleId="kapitel">
    <w:name w:val="kapitel"/>
    <w:basedOn w:val="Normal"/>
    <w:rsid w:val="0074674B"/>
    <w:pPr>
      <w:autoSpaceDE/>
      <w:autoSpaceDN/>
      <w:spacing w:before="400" w:after="100" w:line="240" w:lineRule="auto"/>
      <w:jc w:val="center"/>
    </w:pPr>
    <w:rPr>
      <w:color w:val="000000"/>
      <w:sz w:val="24"/>
      <w:lang w:eastAsia="da-DK"/>
    </w:rPr>
  </w:style>
  <w:style w:type="paragraph" w:customStyle="1" w:styleId="kapiteloverskrift2">
    <w:name w:val="kapiteloverskrift2"/>
    <w:basedOn w:val="Normal"/>
    <w:rsid w:val="0074674B"/>
    <w:pPr>
      <w:autoSpaceDE/>
      <w:autoSpaceDN/>
      <w:spacing w:after="100" w:line="240" w:lineRule="auto"/>
      <w:jc w:val="center"/>
    </w:pPr>
    <w:rPr>
      <w:i/>
      <w:iCs/>
      <w:color w:val="000000"/>
      <w:sz w:val="24"/>
      <w:lang w:eastAsia="da-DK"/>
    </w:rPr>
  </w:style>
  <w:style w:type="paragraph" w:customStyle="1" w:styleId="paragraf">
    <w:name w:val="paragraf"/>
    <w:basedOn w:val="Normal"/>
    <w:rsid w:val="0074674B"/>
    <w:pPr>
      <w:autoSpaceDE/>
      <w:autoSpaceDN/>
      <w:spacing w:before="200" w:line="240" w:lineRule="auto"/>
      <w:ind w:firstLine="240"/>
      <w:jc w:val="left"/>
    </w:pPr>
    <w:rPr>
      <w:color w:val="000000"/>
      <w:sz w:val="24"/>
      <w:lang w:eastAsia="da-DK"/>
    </w:rPr>
  </w:style>
  <w:style w:type="paragraph" w:customStyle="1" w:styleId="stk2">
    <w:name w:val="stk2"/>
    <w:basedOn w:val="Normal"/>
    <w:rsid w:val="0074674B"/>
    <w:pPr>
      <w:autoSpaceDE/>
      <w:autoSpaceDN/>
      <w:spacing w:line="240" w:lineRule="auto"/>
      <w:ind w:firstLine="240"/>
      <w:jc w:val="left"/>
    </w:pPr>
    <w:rPr>
      <w:color w:val="000000"/>
      <w:sz w:val="24"/>
      <w:lang w:eastAsia="da-DK"/>
    </w:rPr>
  </w:style>
  <w:style w:type="paragraph" w:customStyle="1" w:styleId="liste1">
    <w:name w:val="liste1"/>
    <w:basedOn w:val="Normal"/>
    <w:rsid w:val="0074674B"/>
    <w:pPr>
      <w:autoSpaceDE/>
      <w:autoSpaceDN/>
      <w:spacing w:line="240" w:lineRule="auto"/>
      <w:ind w:left="280"/>
      <w:jc w:val="left"/>
    </w:pPr>
    <w:rPr>
      <w:color w:val="000000"/>
      <w:sz w:val="24"/>
      <w:lang w:eastAsia="da-DK"/>
    </w:rPr>
  </w:style>
  <w:style w:type="character" w:customStyle="1" w:styleId="paragrafnr1">
    <w:name w:val="paragrafnr1"/>
    <w:basedOn w:val="Standardskrifttypeiafsnit"/>
    <w:rsid w:val="0074674B"/>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74674B"/>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74674B"/>
    <w:rPr>
      <w:rFonts w:ascii="Tahoma" w:hAnsi="Tahoma" w:cs="Tahoma" w:hint="default"/>
      <w:b/>
      <w:bCs/>
      <w:color w:val="000000"/>
      <w:sz w:val="24"/>
      <w:szCs w:val="24"/>
      <w:shd w:val="clear" w:color="auto" w:fill="auto"/>
    </w:rPr>
  </w:style>
  <w:style w:type="character" w:customStyle="1" w:styleId="paragrafnr3">
    <w:name w:val="paragrafnr3"/>
    <w:basedOn w:val="Standardskrifttypeiafsnit"/>
    <w:rsid w:val="0074674B"/>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74674B"/>
    <w:rPr>
      <w:rFonts w:ascii="Tahoma" w:hAnsi="Tahoma" w:cs="Tahoma" w:hint="default"/>
      <w:color w:val="000000"/>
      <w:sz w:val="24"/>
      <w:szCs w:val="24"/>
      <w:shd w:val="clear" w:color="auto" w:fill="auto"/>
    </w:rPr>
  </w:style>
  <w:style w:type="character" w:customStyle="1" w:styleId="paragrafnr4">
    <w:name w:val="paragrafnr4"/>
    <w:basedOn w:val="Standardskrifttypeiafsnit"/>
    <w:rsid w:val="0074674B"/>
    <w:rPr>
      <w:rFonts w:ascii="Tahoma" w:hAnsi="Tahoma" w:cs="Tahoma" w:hint="default"/>
      <w:b/>
      <w:bCs/>
      <w:color w:val="000000"/>
      <w:sz w:val="24"/>
      <w:szCs w:val="24"/>
      <w:shd w:val="clear" w:color="auto" w:fill="auto"/>
    </w:rPr>
  </w:style>
  <w:style w:type="character" w:customStyle="1" w:styleId="paragrafnr5">
    <w:name w:val="paragrafnr5"/>
    <w:basedOn w:val="Standardskrifttypeiafsnit"/>
    <w:rsid w:val="0074674B"/>
    <w:rPr>
      <w:rFonts w:ascii="Tahoma" w:hAnsi="Tahoma" w:cs="Tahoma" w:hint="default"/>
      <w:b/>
      <w:bCs/>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46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78">
          <w:marLeft w:val="0"/>
          <w:marRight w:val="0"/>
          <w:marTop w:val="0"/>
          <w:marBottom w:val="0"/>
          <w:divBdr>
            <w:top w:val="none" w:sz="0" w:space="0" w:color="auto"/>
            <w:left w:val="none" w:sz="0" w:space="0" w:color="auto"/>
            <w:bottom w:val="none" w:sz="0" w:space="0" w:color="auto"/>
            <w:right w:val="none" w:sz="0" w:space="0" w:color="auto"/>
          </w:divBdr>
          <w:divsChild>
            <w:div w:id="1174607644">
              <w:marLeft w:val="0"/>
              <w:marRight w:val="0"/>
              <w:marTop w:val="0"/>
              <w:marBottom w:val="0"/>
              <w:divBdr>
                <w:top w:val="none" w:sz="0" w:space="0" w:color="auto"/>
                <w:left w:val="none" w:sz="0" w:space="0" w:color="auto"/>
                <w:bottom w:val="none" w:sz="0" w:space="0" w:color="auto"/>
                <w:right w:val="none" w:sz="0" w:space="0" w:color="auto"/>
              </w:divBdr>
              <w:divsChild>
                <w:div w:id="228537766">
                  <w:marLeft w:val="0"/>
                  <w:marRight w:val="0"/>
                  <w:marTop w:val="0"/>
                  <w:marBottom w:val="0"/>
                  <w:divBdr>
                    <w:top w:val="none" w:sz="0" w:space="0" w:color="auto"/>
                    <w:left w:val="none" w:sz="0" w:space="0" w:color="auto"/>
                    <w:bottom w:val="none" w:sz="0" w:space="0" w:color="auto"/>
                    <w:right w:val="none" w:sz="0" w:space="0" w:color="auto"/>
                  </w:divBdr>
                  <w:divsChild>
                    <w:div w:id="531846007">
                      <w:marLeft w:val="0"/>
                      <w:marRight w:val="0"/>
                      <w:marTop w:val="0"/>
                      <w:marBottom w:val="0"/>
                      <w:divBdr>
                        <w:top w:val="none" w:sz="0" w:space="0" w:color="auto"/>
                        <w:left w:val="none" w:sz="0" w:space="0" w:color="auto"/>
                        <w:bottom w:val="none" w:sz="0" w:space="0" w:color="auto"/>
                        <w:right w:val="none" w:sz="0" w:space="0" w:color="auto"/>
                      </w:divBdr>
                      <w:divsChild>
                        <w:div w:id="470948937">
                          <w:marLeft w:val="0"/>
                          <w:marRight w:val="0"/>
                          <w:marTop w:val="0"/>
                          <w:marBottom w:val="0"/>
                          <w:divBdr>
                            <w:top w:val="none" w:sz="0" w:space="0" w:color="auto"/>
                            <w:left w:val="none" w:sz="0" w:space="0" w:color="auto"/>
                            <w:bottom w:val="none" w:sz="0" w:space="0" w:color="auto"/>
                            <w:right w:val="none" w:sz="0" w:space="0" w:color="auto"/>
                          </w:divBdr>
                          <w:divsChild>
                            <w:div w:id="10711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659025">
      <w:bodyDiv w:val="1"/>
      <w:marLeft w:val="0"/>
      <w:marRight w:val="0"/>
      <w:marTop w:val="0"/>
      <w:marBottom w:val="0"/>
      <w:divBdr>
        <w:top w:val="none" w:sz="0" w:space="0" w:color="auto"/>
        <w:left w:val="none" w:sz="0" w:space="0" w:color="auto"/>
        <w:bottom w:val="none" w:sz="0" w:space="0" w:color="auto"/>
        <w:right w:val="none" w:sz="0" w:space="0" w:color="auto"/>
      </w:divBdr>
    </w:div>
    <w:div w:id="1078790941">
      <w:bodyDiv w:val="1"/>
      <w:marLeft w:val="0"/>
      <w:marRight w:val="0"/>
      <w:marTop w:val="0"/>
      <w:marBottom w:val="0"/>
      <w:divBdr>
        <w:top w:val="none" w:sz="0" w:space="0" w:color="auto"/>
        <w:left w:val="none" w:sz="0" w:space="0" w:color="auto"/>
        <w:bottom w:val="none" w:sz="0" w:space="0" w:color="auto"/>
        <w:right w:val="none" w:sz="0" w:space="0" w:color="auto"/>
      </w:divBdr>
      <w:divsChild>
        <w:div w:id="156847358">
          <w:marLeft w:val="0"/>
          <w:marRight w:val="0"/>
          <w:marTop w:val="0"/>
          <w:marBottom w:val="300"/>
          <w:divBdr>
            <w:top w:val="none" w:sz="0" w:space="0" w:color="auto"/>
            <w:left w:val="none" w:sz="0" w:space="0" w:color="auto"/>
            <w:bottom w:val="none" w:sz="0" w:space="0" w:color="auto"/>
            <w:right w:val="none" w:sz="0" w:space="0" w:color="auto"/>
          </w:divBdr>
          <w:divsChild>
            <w:div w:id="1815560143">
              <w:marLeft w:val="0"/>
              <w:marRight w:val="0"/>
              <w:marTop w:val="0"/>
              <w:marBottom w:val="0"/>
              <w:divBdr>
                <w:top w:val="none" w:sz="0" w:space="0" w:color="auto"/>
                <w:left w:val="single" w:sz="6" w:space="1" w:color="FFFFFF"/>
                <w:bottom w:val="none" w:sz="0" w:space="0" w:color="auto"/>
                <w:right w:val="single" w:sz="6" w:space="1" w:color="FFFFFF"/>
              </w:divBdr>
              <w:divsChild>
                <w:div w:id="725493679">
                  <w:marLeft w:val="0"/>
                  <w:marRight w:val="0"/>
                  <w:marTop w:val="0"/>
                  <w:marBottom w:val="0"/>
                  <w:divBdr>
                    <w:top w:val="none" w:sz="0" w:space="0" w:color="auto"/>
                    <w:left w:val="none" w:sz="0" w:space="0" w:color="auto"/>
                    <w:bottom w:val="none" w:sz="0" w:space="0" w:color="auto"/>
                    <w:right w:val="none" w:sz="0" w:space="0" w:color="auto"/>
                  </w:divBdr>
                  <w:divsChild>
                    <w:div w:id="1363633137">
                      <w:marLeft w:val="0"/>
                      <w:marRight w:val="0"/>
                      <w:marTop w:val="0"/>
                      <w:marBottom w:val="0"/>
                      <w:divBdr>
                        <w:top w:val="none" w:sz="0" w:space="0" w:color="auto"/>
                        <w:left w:val="none" w:sz="0" w:space="0" w:color="auto"/>
                        <w:bottom w:val="none" w:sz="0" w:space="0" w:color="auto"/>
                        <w:right w:val="none" w:sz="0" w:space="0" w:color="auto"/>
                      </w:divBdr>
                      <w:divsChild>
                        <w:div w:id="1177766078">
                          <w:marLeft w:val="0"/>
                          <w:marRight w:val="0"/>
                          <w:marTop w:val="0"/>
                          <w:marBottom w:val="0"/>
                          <w:divBdr>
                            <w:top w:val="none" w:sz="0" w:space="0" w:color="auto"/>
                            <w:left w:val="none" w:sz="0" w:space="0" w:color="auto"/>
                            <w:bottom w:val="none" w:sz="0" w:space="0" w:color="auto"/>
                            <w:right w:val="none" w:sz="0" w:space="0" w:color="auto"/>
                          </w:divBdr>
                          <w:divsChild>
                            <w:div w:id="393355632">
                              <w:marLeft w:val="0"/>
                              <w:marRight w:val="0"/>
                              <w:marTop w:val="0"/>
                              <w:marBottom w:val="0"/>
                              <w:divBdr>
                                <w:top w:val="none" w:sz="0" w:space="0" w:color="auto"/>
                                <w:left w:val="none" w:sz="0" w:space="0" w:color="auto"/>
                                <w:bottom w:val="none" w:sz="0" w:space="0" w:color="auto"/>
                                <w:right w:val="none" w:sz="0" w:space="0" w:color="auto"/>
                              </w:divBdr>
                              <w:divsChild>
                                <w:div w:id="1818571426">
                                  <w:marLeft w:val="0"/>
                                  <w:marRight w:val="0"/>
                                  <w:marTop w:val="0"/>
                                  <w:marBottom w:val="0"/>
                                  <w:divBdr>
                                    <w:top w:val="none" w:sz="0" w:space="0" w:color="auto"/>
                                    <w:left w:val="none" w:sz="0" w:space="0" w:color="auto"/>
                                    <w:bottom w:val="none" w:sz="0" w:space="0" w:color="auto"/>
                                    <w:right w:val="none" w:sz="0" w:space="0" w:color="auto"/>
                                  </w:divBdr>
                                  <w:divsChild>
                                    <w:div w:id="17389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628363">
      <w:bodyDiv w:val="1"/>
      <w:marLeft w:val="0"/>
      <w:marRight w:val="0"/>
      <w:marTop w:val="0"/>
      <w:marBottom w:val="0"/>
      <w:divBdr>
        <w:top w:val="none" w:sz="0" w:space="0" w:color="auto"/>
        <w:left w:val="none" w:sz="0" w:space="0" w:color="auto"/>
        <w:bottom w:val="none" w:sz="0" w:space="0" w:color="auto"/>
        <w:right w:val="none" w:sz="0" w:space="0" w:color="auto"/>
      </w:divBdr>
    </w:div>
    <w:div w:id="1286153760">
      <w:bodyDiv w:val="1"/>
      <w:marLeft w:val="0"/>
      <w:marRight w:val="0"/>
      <w:marTop w:val="0"/>
      <w:marBottom w:val="0"/>
      <w:divBdr>
        <w:top w:val="none" w:sz="0" w:space="0" w:color="auto"/>
        <w:left w:val="none" w:sz="0" w:space="0" w:color="auto"/>
        <w:bottom w:val="none" w:sz="0" w:space="0" w:color="auto"/>
        <w:right w:val="none" w:sz="0" w:space="0" w:color="auto"/>
      </w:divBdr>
    </w:div>
    <w:div w:id="1404718360">
      <w:bodyDiv w:val="1"/>
      <w:marLeft w:val="390"/>
      <w:marRight w:val="390"/>
      <w:marTop w:val="0"/>
      <w:marBottom w:val="0"/>
      <w:divBdr>
        <w:top w:val="none" w:sz="0" w:space="0" w:color="auto"/>
        <w:left w:val="none" w:sz="0" w:space="0" w:color="auto"/>
        <w:bottom w:val="none" w:sz="0" w:space="0" w:color="auto"/>
        <w:right w:val="none" w:sz="0" w:space="0" w:color="auto"/>
      </w:divBdr>
    </w:div>
    <w:div w:id="16877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rev_Nyt_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0BE8-1C4C-413F-9A17-223C5F07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Grund-brev_Nyt_3</Template>
  <TotalTime>1</TotalTime>
  <Pages>5</Pages>
  <Words>1930</Words>
  <Characters>11774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Vedr</vt:lpstr>
    </vt:vector>
  </TitlesOfParts>
  <Company>Unik System Design</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dc:title>
  <dc:creator>Kasper Hendrup Andersen</dc:creator>
  <cp:lastModifiedBy>Herdis Kristiansen</cp:lastModifiedBy>
  <cp:revision>2</cp:revision>
  <cp:lastPrinted>2007-06-22T12:32:00Z</cp:lastPrinted>
  <dcterms:created xsi:type="dcterms:W3CDTF">2021-12-29T23:44:00Z</dcterms:created>
  <dcterms:modified xsi:type="dcterms:W3CDTF">2021-12-29T23:44:00Z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11250278</vt:i4>
  </property>
  <property fmtid="{D5CDD505-2E9C-101B-9397-08002B2CF9AE}" pid="3" name="Stamnr1">
    <vt:lpwstr>00049697</vt:lpwstr>
  </property>
  <property fmtid="{D5CDD505-2E9C-101B-9397-08002B2CF9AE}" pid="4" name="EmailAdresse1">
    <vt:lpwstr>TOL@ldd.dk</vt:lpwstr>
  </property>
  <property fmtid="{D5CDD505-2E9C-101B-9397-08002B2CF9AE}" pid="5" name="AntalMails">
    <vt:lpwstr>1</vt:lpwstr>
  </property>
  <property fmtid="{D5CDD505-2E9C-101B-9397-08002B2CF9AE}" pid="6" name="zzSprog">
    <vt:lpwstr>Dansk</vt:lpwstr>
  </property>
  <property fmtid="{D5CDD505-2E9C-101B-9397-08002B2CF9AE}" pid="7" name="GemNavn">
    <vt:lpwstr>X:\Unik\Advosys 4\Advosys\DOKUMENT\KHA\36\86468\10011_95.DOCX</vt:lpwstr>
  </property>
  <property fmtid="{D5CDD505-2E9C-101B-9397-08002B2CF9AE}" pid="8" name="FlereParter">
    <vt:lpwstr>0</vt:lpwstr>
  </property>
  <property fmtid="{D5CDD505-2E9C-101B-9397-08002B2CF9AE}" pid="9" name="FaxMakNr">
    <vt:lpwstr/>
  </property>
</Properties>
</file>